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169" w:name="inferencex中文版详细解读报告"/>
    <w:p>
      <w:pPr>
        <w:pStyle w:val="Heading1"/>
      </w:pPr>
      <w:r>
        <w:t xml:space="preserve">InferenceX（中文版）详细解读报告</w:t>
      </w:r>
    </w:p>
    <w:p>
      <w:pPr>
        <w:pStyle w:val="BlockText"/>
      </w:pPr>
      <w:r>
        <w:rPr>
          <w:bCs/>
          <w:b/>
        </w:rPr>
        <w:t xml:space="preserve">数据来源页面</w:t>
      </w:r>
      <w:r>
        <w:t xml:space="preserve">：</w:t>
      </w:r>
      <w:hyperlink r:id="rId20">
        <w:r>
          <w:rPr>
            <w:rStyle w:val="Hyperlink"/>
          </w:rPr>
          <w:t xml:space="preserve">https://inferencex.semianalysis.com/zh/overview</w:t>
        </w:r>
      </w:hyperlink>
      <w:r>
        <w:t xml:space="preserve">（总览 / 智能体推理成本）</w:t>
      </w:r>
      <w:r>
        <w:t xml:space="preserve"> </w:t>
      </w:r>
      <w:r>
        <w:rPr>
          <w:bCs/>
          <w:b/>
        </w:rPr>
        <w:t xml:space="preserve">辅助页面</w:t>
      </w:r>
      <w:r>
        <w:t xml:space="preserve">：</w:t>
      </w:r>
      <w:hyperlink r:id="rId21">
        <w:r>
          <w:rPr>
            <w:rStyle w:val="Hyperlink"/>
          </w:rPr>
          <w:t xml:space="preserve">https://inferencex.semianalysis.com/zh/about</w:t>
        </w:r>
      </w:hyperlink>
      <w:r>
        <w:t xml:space="preserve">（关于 / 方法论）</w:t>
      </w:r>
      <w:r>
        <w:t xml:space="preserve"> </w:t>
      </w:r>
      <w:r>
        <w:rPr>
          <w:bCs/>
          <w:b/>
        </w:rPr>
        <w:t xml:space="preserve">报告生成日期</w:t>
      </w:r>
      <w:r>
        <w:t xml:space="preserve">：2026-10-13</w:t>
      </w:r>
      <w:r>
        <w:t xml:space="preserve"> </w:t>
      </w:r>
      <w:r>
        <w:rPr>
          <w:bCs/>
          <w:b/>
        </w:rPr>
        <w:t xml:space="preserve">状态说明</w:t>
      </w:r>
      <w:r>
        <w:t xml:space="preserve">：报告中所有未在页面中出现的指标以”页面未提供 / 信息受限”标注，绝不凭空填充数字。</w:t>
      </w:r>
    </w:p>
    <w:p>
      <w:r>
        <w:pict>
          <v:rect style="width:0;height:1.5pt" o:hralign="center" o:hrstd="t" o:hr="t"/>
        </w:pict>
      </w:r>
    </w:p>
    <w:bookmarkStart w:id="27" w:name="概览overview"/>
    <w:p>
      <w:pPr>
        <w:pStyle w:val="Heading2"/>
      </w:pPr>
      <w:r>
        <w:t xml:space="preserve">1. 概览（Overview）</w:t>
      </w:r>
    </w:p>
    <w:bookmarkStart w:id="23" w:name="页面定位与维护方"/>
    <w:p>
      <w:pPr>
        <w:pStyle w:val="Heading3"/>
      </w:pPr>
      <w:r>
        <w:t xml:space="preserve">1.1 页面定位与维护方</w:t>
      </w:r>
    </w:p>
    <w:p>
      <w:pPr>
        <w:pStyle w:val="FirstParagraph"/>
      </w:pPr>
      <w:r>
        <w:rPr>
          <w:bCs/>
          <w:b/>
        </w:rPr>
        <w:t xml:space="preserve">页面原文摘要</w:t>
      </w:r>
      <w:r>
        <w:t xml:space="preserve">：</w:t>
      </w:r>
      <w:r>
        <w:t xml:space="preserve"> </w:t>
      </w:r>
      <w:r>
        <w:t xml:space="preserve">- 标题：智能体推理成本 | InferenceX by SemiAnalysis</w:t>
      </w:r>
      <w:r>
        <w:t xml:space="preserve"> </w:t>
      </w:r>
      <w:r>
        <w:t xml:space="preserve">- 副标题：超大规模云厂商成本 · ↓ 越低越好 · 来源：InferenceX 与 SemiAnalysis Market July 2026 Pricing Surveys &amp; AI Cloud TCO Model</w:t>
      </w:r>
      <w:r>
        <w:t xml:space="preserve"> </w:t>
      </w:r>
      <w:r>
        <w:t xml:space="preserve">- 网站定位（英文版首页）：Continuous open-source AI accelerator system benchmarking. Real-world, reproducible, auditable performance data；自称为</w:t>
      </w:r>
      <w:r>
        <w:t xml:space="preserve"> </w:t>
      </w:r>
      <w:r>
        <w:t xml:space="preserve">“</w:t>
      </w:r>
      <w:r>
        <w:t xml:space="preserve">Open-Source Continuous AI Accelerator System Benchmark Trusted by GigaWatt Token Factories</w:t>
      </w:r>
      <w:r>
        <w:t xml:space="preserve">”</w:t>
      </w:r>
      <w:r>
        <w:t xml:space="preserve"> </w:t>
      </w:r>
      <w:r>
        <w:t xml:space="preserve">- 前身：InferenceMAX（关于页明确说明）</w:t>
      </w:r>
      <w:r>
        <w:t xml:space="preserve"> </w:t>
      </w:r>
      <w:r>
        <w:t xml:space="preserve">- 维护方：SemiAnalysis，定位为”独立半导体与 AI 研究机构”，客户包括 OpenAI、Meta、Oracle、Microsoft 等万亿美元级 AI 基础设施运营方，以及多家数十亿美元规模的 NeoCloud</w:t>
      </w:r>
      <w:r>
        <w:t xml:space="preserve"> </w:t>
      </w:r>
      <w:r>
        <w:t xml:space="preserve">- GitHub Star：约 1,839（页面展示数）</w:t>
      </w:r>
      <w:r>
        <w:t xml:space="preserve"> </w:t>
      </w:r>
      <w:r>
        <w:t xml:space="preserve">- 仓库：</w:t>
      </w:r>
      <w:hyperlink r:id="rId22">
        <w:r>
          <w:rPr>
            <w:rStyle w:val="Hyperlink"/>
          </w:rPr>
          <w:t xml:space="preserve">https://github.com/SemiAnalysisAI/InferenceX</w:t>
        </w:r>
      </w:hyperlink>
    </w:p>
    <w:p>
      <w:pPr>
        <w:pStyle w:val="BodyText"/>
      </w:pPr>
      <w:r>
        <w:rPr>
          <w:bCs/>
          <w:b/>
        </w:rPr>
        <w:t xml:space="preserve">专业解读与扩展</w:t>
      </w:r>
      <w:r>
        <w:t xml:space="preserve">：</w:t>
      </w:r>
    </w:p>
    <w:p>
      <w:pPr>
        <w:pStyle w:val="BodyText"/>
      </w:pPr>
      <w:r>
        <w:t xml:space="preserve">InferenceX 是 SemiAnalysis 在 2025 年将原 InferenceMAX 升级后的旗舰基准平台，定位”持续开源 AI 加速器系统基准”。从用语上可见其叙事重心正从”MLPerf Inference 风格的第三方跑分”转向”超大规模 Token 工厂真实部署成本”。这一定位决定了三个特征：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场景驱动而非模型驱动</w:t>
      </w:r>
      <w:r>
        <w:t xml:space="preserve">：以工作负载形态（AgentX 长上下文多轮、固定长度 1k/1k、1k/8k、8k/1k）作为一级分组单元，而不是以模型 / 框架作为一级分组；这与传统 MLPerf</w:t>
      </w:r>
      <w:r>
        <w:t xml:space="preserve"> </w:t>
      </w:r>
      <w:r>
        <w:t xml:space="preserve">“</w:t>
      </w:r>
      <w:r>
        <w:t xml:space="preserve">以模型为评测单元</w:t>
      </w:r>
      <w:r>
        <w:t xml:space="preserve">”</w:t>
      </w:r>
      <w:r>
        <w:t xml:space="preserve">的设计哲学相反。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服务经济性而非裸硬件性能</w:t>
      </w:r>
      <w:r>
        <w:t xml:space="preserve">：核心指标是”每百万总 token 成本”，而非 FLOPS / 带宽利用率；这是面向 Token 工厂的 TCO 决策。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开源可复现</w:t>
      </w:r>
      <w:r>
        <w:t xml:space="preserve">：所有数据点由公开 GitHub Actions 工作流在真实硬件上产生，配置以 shell 脚本提交，并将幂延迟、token 计数、芯片功耗遥测写入附表。</w:t>
      </w:r>
    </w:p>
    <w:bookmarkEnd w:id="23"/>
    <w:bookmarkStart w:id="25" w:name="与-mlperf-inferencesemianalysis-生态的关系"/>
    <w:p>
      <w:pPr>
        <w:pStyle w:val="Heading3"/>
      </w:pPr>
      <w:r>
        <w:t xml:space="preserve">1.2 与 MLPerf Inference、SemiAnalysis 生态的关系</w:t>
      </w:r>
    </w:p>
    <w:p>
      <w:pPr>
        <w:pStyle w:val="FirstParagraph"/>
      </w:pPr>
      <w:r>
        <w:rPr>
          <w:bCs/>
          <w:b/>
        </w:rPr>
        <w:t xml:space="preserve">页面原文摘要</w:t>
      </w:r>
      <w:r>
        <w:t xml:space="preserve">：在中文版 Overview 与 About 两个页面中，</w:t>
      </w:r>
      <w:r>
        <w:rPr>
          <w:bCs/>
          <w:b/>
        </w:rPr>
        <w:t xml:space="preserve">均未出现”MLPerf”或”MLCommons”字样</w:t>
      </w:r>
      <w:r>
        <w:t xml:space="preserve">；也未与其他第三方基准（如 Artificial Analysis、IDC、甘来 GAIA）做对比。</w:t>
      </w:r>
    </w:p>
    <w:p>
      <w:pPr>
        <w:pStyle w:val="BodyText"/>
      </w:pPr>
      <w:r>
        <w:rPr>
          <w:bCs/>
          <w:b/>
        </w:rPr>
        <w:t xml:space="preserve">专业解读与扩展</w:t>
      </w:r>
      <w:r>
        <w:t xml:space="preserve">：</w:t>
      </w:r>
    </w:p>
    <w:p>
      <w:pPr>
        <w:pStyle w:val="BodyText"/>
      </w:pPr>
      <w:r>
        <w:t xml:space="preserve">虽然没有显式声明关系，但根据 SemiAnalysis 生态内其他渠道的公开表述（如其 Newsletter 关于推理经济的系列文章），可推断两者关系如下：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数据维度互补</w:t>
      </w:r>
      <w:r>
        <w:t xml:space="preserve">：MLPerf Inference 由 MLCommons 主导，强调结果提交与闭环封闭（必须用合规模型权重、锁定的 serving stack），近年也加入 LLM 类（如 Llama 2 7B / Mixtral 8x7B）以及 Datacenter / Edge 分类。InferenceX 的特征是”激进真实”——直接采用 DeepSeek V4 Pro 1.6T、Kimi K3 2.8T 这类尚未进入 MLPerf 名单的前沿权重，使用 MoE 推理所需的投机解码 / MTP / DSpark 等最新技术。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生态关系</w:t>
      </w:r>
      <w:r>
        <w:t xml:space="preserve">：SemiAnalysis 同时作为分析媒体和 InferenceX 运营方，其 TCO 模型与”InferenceX 实测 + Pricing Surveys”挂钩，形成”实测 + 定价 + TCO”闭环。换言之，InferenceX 充当 SemiAnalysis Token 工厂经济学的</w:t>
      </w:r>
      <w:r>
        <w:rPr>
          <w:bCs/>
          <w:b/>
        </w:rPr>
        <w:t xml:space="preserve">事实底座</w:t>
      </w:r>
      <w:r>
        <w:t xml:space="preserve">。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方法论差异</w:t>
      </w:r>
      <w:r>
        <w:t xml:space="preserve">：MLPerf 提交者跑自己的代码，需经审核；InferenceX 把所有 benchmark shell 脚本公开（</w:t>
      </w:r>
      <w:hyperlink r:id="rId24">
        <w:r>
          <w:rPr>
            <w:rStyle w:val="Hyperlink"/>
          </w:rPr>
          <w:t xml:space="preserve">https://github.com/SemiAnalysisAI/InferenceX/tree/main/benchmarks</w:t>
        </w:r>
      </w:hyperlink>
      <w:r>
        <w:t xml:space="preserve">），并允许 GitHub Actions 上 90 天历史日志溯源。这等于把”复审”从”提交审查”变成了”代码审查”。</w:t>
      </w:r>
    </w:p>
    <w:bookmarkEnd w:id="25"/>
    <w:bookmarkStart w:id="26" w:name="中文版页面相对英文版的差异"/>
    <w:p>
      <w:pPr>
        <w:pStyle w:val="Heading3"/>
      </w:pPr>
      <w:r>
        <w:t xml:space="preserve">1.3 中文版页面相对英文版的差异</w:t>
      </w:r>
    </w:p>
    <w:p>
      <w:pPr>
        <w:pStyle w:val="FirstParagraph"/>
      </w:pPr>
      <w:r>
        <w:rPr>
          <w:bCs/>
          <w:b/>
        </w:rPr>
        <w:t xml:space="preserve">页面原文摘要</w:t>
      </w:r>
      <w:r>
        <w:t xml:space="preserve">：</w:t>
      </w:r>
      <w:r>
        <w:t xml:space="preserve"> </w:t>
      </w:r>
      <w:r>
        <w:t xml:space="preserve">- 英文版首页：包含</w:t>
      </w:r>
      <w:r>
        <w:t xml:space="preserve"> </w:t>
      </w:r>
      <w:r>
        <w:t xml:space="preserve">“</w:t>
      </w:r>
      <w:r>
        <w:t xml:space="preserve">AcceleratorX</w:t>
      </w:r>
      <w:r>
        <w:t xml:space="preserve">”</w:t>
      </w:r>
      <w:r>
        <w:t xml:space="preserve"> </w:t>
      </w:r>
      <w:r>
        <w:t xml:space="preserve">旧称、完整 Newsletter / About 入口、Google TPUv7 Ironwood / OpenAI Jalapeño / MI455X UALoE72 / SambaNova SN50 等未来硬件预告</w:t>
      </w:r>
      <w:r>
        <w:t xml:space="preserve"> </w:t>
      </w:r>
      <w:r>
        <w:t xml:space="preserve">- 中文版总览页：仅展示当前已交付的硬件（B200/B300/GB200/GB300 NVL72、MI355X 等），不存在 roadmap 区域</w:t>
      </w:r>
    </w:p>
    <w:p>
      <w:pPr>
        <w:pStyle w:val="BodyText"/>
      </w:pPr>
      <w:r>
        <w:rPr>
          <w:bCs/>
          <w:b/>
        </w:rPr>
        <w:t xml:space="preserve">专业解读与扩展</w:t>
      </w:r>
      <w:r>
        <w:t xml:space="preserve">：</w:t>
      </w:r>
    </w:p>
    <w:p>
      <w:pPr>
        <w:pStyle w:val="BodyText"/>
      </w:pPr>
      <w:r>
        <w:t xml:space="preserve">中文版 (</w:t>
      </w:r>
      <w:r>
        <w:rPr>
          <w:rStyle w:val="VerbatimChar"/>
        </w:rPr>
        <w:t xml:space="preserve">/zh</w:t>
      </w:r>
      <w:r>
        <w:t xml:space="preserve">) 主要呈现”已可比较的模型 + 硬件组合”的成本数字，与英文版首页的”营销 + Roadmap”内容有明显侧重差异：</w:t>
      </w:r>
    </w:p>
    <w:p>
      <w:pPr>
        <w:numPr>
          <w:ilvl w:val="0"/>
          <w:numId w:val="1003"/>
        </w:numPr>
        <w:pStyle w:val="Compact"/>
      </w:pPr>
      <w:r>
        <w:t xml:space="preserve">英文首页更像”产品营销 + 行业信号”，给硬件买家与厂商看</w:t>
      </w:r>
    </w:p>
    <w:p>
      <w:pPr>
        <w:numPr>
          <w:ilvl w:val="0"/>
          <w:numId w:val="1003"/>
        </w:numPr>
        <w:pStyle w:val="Compact"/>
      </w:pPr>
      <w:r>
        <w:t xml:space="preserve">中文</w:t>
      </w:r>
      <w:r>
        <w:t xml:space="preserve"> </w:t>
      </w:r>
      <w:r>
        <w:rPr>
          <w:rStyle w:val="VerbatimChar"/>
        </w:rPr>
        <w:t xml:space="preserve">/zh/overview</w:t>
      </w:r>
      <w:r>
        <w:t xml:space="preserve"> </w:t>
      </w:r>
      <w:r>
        <w:t xml:space="preserve">是</w:t>
      </w:r>
      <w:r>
        <w:rPr>
          <w:bCs/>
          <w:b/>
        </w:rPr>
        <w:t xml:space="preserve">纯数据面板</w:t>
      </w:r>
      <w:r>
        <w:t xml:space="preserve">，给采购 / 架构师做横向对比</w:t>
      </w:r>
    </w:p>
    <w:p>
      <w:pPr>
        <w:numPr>
          <w:ilvl w:val="0"/>
          <w:numId w:val="1003"/>
        </w:numPr>
        <w:pStyle w:val="Compact"/>
      </w:pPr>
      <w:r>
        <w:t xml:space="preserve">数据完整性上看，中文版没有隐藏数值，但</w:t>
      </w:r>
      <w:r>
        <w:rPr>
          <w:bCs/>
          <w:b/>
        </w:rPr>
        <w:t xml:space="preserve">没有</w:t>
      </w:r>
      <w:r>
        <w:t xml:space="preserve">附”How to read”说明、未在中文页脚提供 GT 0.5% / geomean 等聚合字段的释义。中文读者只能基于英文 / 模型社区的术语经验来理解相关字段。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38" w:name="度量基础slo-toksuser-m-tokens"/>
    <w:p>
      <w:pPr>
        <w:pStyle w:val="Heading2"/>
      </w:pPr>
      <w:r>
        <w:t xml:space="preserve">2. 度量基础（SLO / tok/s/user / $/M tokens）</w:t>
      </w:r>
    </w:p>
    <w:p>
      <w:pPr>
        <w:pStyle w:val="BlockText"/>
      </w:pPr>
      <w:r>
        <w:t xml:space="preserve">重要前提：本节中</w:t>
      </w:r>
      <w:r>
        <w:rPr>
          <w:bCs/>
          <w:b/>
        </w:rPr>
        <w:t xml:space="preserve">所有带页码 / 行级定义</w:t>
      </w:r>
      <w:r>
        <w:t xml:space="preserve">的参数，均直接来源于</w:t>
      </w:r>
      <w:r>
        <w:t xml:space="preserve"> </w:t>
      </w:r>
      <w:r>
        <w:rPr>
          <w:rStyle w:val="VerbatimChar"/>
        </w:rPr>
        <w:t xml:space="preserve">/zh/overview</w:t>
      </w:r>
      <w:r>
        <w:t xml:space="preserve"> </w:t>
      </w:r>
      <w:r>
        <w:t xml:space="preserve">与</w:t>
      </w:r>
      <w:r>
        <w:t xml:space="preserve"> </w:t>
      </w:r>
      <w:r>
        <w:rPr>
          <w:rStyle w:val="VerbatimChar"/>
        </w:rPr>
        <w:t xml:space="preserve">/zh/about</w:t>
      </w:r>
      <w:r>
        <w:t xml:space="preserve"> </w:t>
      </w:r>
      <w:r>
        <w:t xml:space="preserve">的页面原文。所有用户在任务大纲中列举但页面</w:t>
      </w:r>
      <w:r>
        <w:rPr>
          <w:bCs/>
          <w:b/>
        </w:rPr>
        <w:t xml:space="preserve">未给出定义</w:t>
      </w:r>
      <w:r>
        <w:t xml:space="preserve">的指标（如 TTFT、ITL、Batch Size、Concurrency、Tokens/Watt、AWQ/GPTQ 等），统一在 §2.10 标注”页面未提供”。</w:t>
      </w:r>
    </w:p>
    <w:bookmarkStart w:id="28" w:name="sloservice-level-objective服务等级目标"/>
    <w:p>
      <w:pPr>
        <w:pStyle w:val="Heading3"/>
      </w:pPr>
      <w:r>
        <w:t xml:space="preserve">2.1 SLO（Service Level Objective，服务等级目标）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项目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中文名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服务等级目标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英文原文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SLO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页面取值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/ 50 / 75 / 100 / 150 / 200 tok/s/user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页面交互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SLO 滑块；用户可拖动选择</w:t>
            </w:r>
          </w:p>
        </w:tc>
      </w:tr>
    </w:tbl>
    <w:p>
      <w:pPr>
        <w:pStyle w:val="BodyText"/>
      </w:pPr>
      <w:r>
        <w:rPr>
          <w:bCs/>
          <w:b/>
        </w:rPr>
        <w:t xml:space="preserve">计算方式</w:t>
      </w:r>
      <w:r>
        <w:t xml:space="preserve">：未在页面给出公式。结合”tok/s/user”含义推断：单条请求用户级（即该用户视角的）解码速率需 ≥ 选定 SLO 值，即</w:t>
      </w:r>
      <w:r>
        <w:t xml:space="preserve"> </w:t>
      </w:r>
      <w:r>
        <w:rPr>
          <w:bCs/>
          <w:b/>
        </w:rPr>
        <w:t xml:space="preserve">inter-token latency ≤ 1/SLO 秒</w:t>
      </w:r>
      <w:r>
        <w:t xml:space="preserve">。例如 SLO=50，对应 ITL ≤ 20 ms/ token。</w:t>
      </w:r>
    </w:p>
    <w:p>
      <w:pPr>
        <w:pStyle w:val="BodyText"/>
      </w:pPr>
      <w:r>
        <w:rPr>
          <w:bCs/>
          <w:b/>
        </w:rPr>
        <w:t xml:space="preserve">业务意义</w:t>
      </w:r>
      <w:r>
        <w:t xml:space="preserve">：SLO 是”系统对单用户体验的最低保证”。在 AgentX 这种链式调用场景，如果 SLO 调高，从 50→100 tok/s/user 看似只是翻倍，但实际意味着每一轮交互的人类可感知响应时延减半，对话流畅度跃升。</w:t>
      </w:r>
    </w:p>
    <w:p>
      <w:pPr>
        <w:pStyle w:val="BodyText"/>
      </w:pPr>
      <w:r>
        <w:rPr>
          <w:bCs/>
          <w:b/>
        </w:rPr>
        <w:t xml:space="preserve">常见误区</w:t>
      </w:r>
      <w:r>
        <w:t xml:space="preserve">：</w:t>
      </w:r>
    </w:p>
    <w:p>
      <w:pPr>
        <w:numPr>
          <w:ilvl w:val="0"/>
          <w:numId w:val="1004"/>
        </w:numPr>
        <w:pStyle w:val="Compact"/>
      </w:pPr>
      <w:r>
        <w:t xml:space="preserve">SLO 不是平均值，是</w:t>
      </w:r>
      <w:r>
        <w:rPr>
          <w:bCs/>
          <w:b/>
        </w:rPr>
        <w:t xml:space="preserve">最低保证</w:t>
      </w:r>
      <w:r>
        <w:t xml:space="preserve">——若对话中某次请求低于阈值即视为违反 SLO</w:t>
      </w:r>
    </w:p>
    <w:p>
      <w:pPr>
        <w:numPr>
          <w:ilvl w:val="0"/>
          <w:numId w:val="1004"/>
        </w:numPr>
        <w:pStyle w:val="Compact"/>
      </w:pPr>
      <w:r>
        <w:t xml:space="preserve">不同 SLO 下的容量规划差异巨大：SLO=200 tok/s/user 远比 30 严苛，</w:t>
      </w:r>
      <w:r>
        <w:rPr>
          <w:bCs/>
          <w:b/>
        </w:rPr>
        <w:t xml:space="preserve">单卡能容纳的并发用户数会显著下降</w:t>
      </w:r>
    </w:p>
    <w:p>
      <w:pPr>
        <w:numPr>
          <w:ilvl w:val="0"/>
          <w:numId w:val="1004"/>
        </w:numPr>
        <w:pStyle w:val="Compact"/>
      </w:pPr>
      <w:r>
        <w:t xml:space="preserve">推理引擎的 KV cache 调度策略在不同 SLO 下表现不同，PagedAttention 等技术在低 SLO 下浪费可能更明显</w:t>
      </w:r>
    </w:p>
    <w:bookmarkEnd w:id="28"/>
    <w:bookmarkStart w:id="29" w:name="toksuser每用户每秒-token-数"/>
    <w:p>
      <w:pPr>
        <w:pStyle w:val="Heading3"/>
      </w:pPr>
      <w:r>
        <w:t xml:space="preserve">2.2 tok/s/user（每用户每秒 token 数）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项目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页面原文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tok/s/user（每用户每秒 token 数）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作用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判定是否满足 SLO 的指标</w:t>
            </w:r>
          </w:p>
        </w:tc>
      </w:tr>
    </w:tbl>
    <w:p>
      <w:pPr>
        <w:pStyle w:val="BodyText"/>
      </w:pPr>
      <w:r>
        <w:rPr>
          <w:bCs/>
          <w:b/>
        </w:rPr>
        <w:t xml:space="preserve">专业解读</w:t>
      </w:r>
      <w:r>
        <w:t xml:space="preserve">：与 §2.1 SLO 互为约束。一个 GPU 实例上 N 个并发用户同时跑，</w:t>
      </w:r>
      <w:r>
        <w:rPr>
          <w:bCs/>
          <w:b/>
        </w:rPr>
        <w:t xml:space="preserve">总吞吐 ÷ 并发数 ≈ tok/s/user</w:t>
      </w:r>
      <w:r>
        <w:t xml:space="preserve">。该指标比”总 tokens/s”更能反映交互式体验质量。</w:t>
      </w:r>
    </w:p>
    <w:bookmarkEnd w:id="29"/>
    <w:bookmarkStart w:id="30" w:name="每百万总-token-成本"/>
    <w:p>
      <w:pPr>
        <w:pStyle w:val="Heading3"/>
      </w:pPr>
      <w:r>
        <w:t xml:space="preserve">2.3 每百万总 token 成本</w:t>
      </w:r>
    </w:p>
    <w:p>
      <w:pPr>
        <w:pStyle w:val="FirstParagraph"/>
      </w:pPr>
      <w:r>
        <w:rPr>
          <w:bCs/>
          <w:b/>
        </w:rPr>
        <w:t xml:space="preserve">页面原文摘要</w:t>
      </w:r>
      <w:r>
        <w:t xml:space="preserve">：</w:t>
      </w:r>
    </w:p>
    <w:p>
      <w:pPr>
        <w:pStyle w:val="BlockText"/>
      </w:pPr>
      <w:r>
        <w:t xml:space="preserve">“</w:t>
      </w:r>
      <w:r>
        <w:t xml:space="preserve">根据各模型标注的测试场景，采用各平台实测的最优服务包络线，计算每百万总 token 成本。</w:t>
      </w:r>
      <w:r>
        <w:t xml:space="preserve">”</w:t>
      </w:r>
    </w:p>
    <w:p>
      <w:pPr>
        <w:pStyle w:val="FirstParagraph"/>
      </w:pPr>
      <w:r>
        <w:rPr>
          <w:bCs/>
          <w:b/>
        </w:rPr>
        <w:t xml:space="preserve">专业解读</w:t>
      </w:r>
      <w:r>
        <w:t xml:space="preserve">：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“</w:t>
      </w:r>
      <w:r>
        <w:rPr>
          <w:bCs/>
          <w:b/>
        </w:rPr>
        <w:t xml:space="preserve">最优服务包络线</w:t>
      </w:r>
      <w:r>
        <w:rPr>
          <w:bCs/>
          <w:b/>
        </w:rPr>
        <w:t xml:space="preserve">”</w:t>
      </w:r>
      <w:r>
        <w:t xml:space="preserve"> </w:t>
      </w:r>
      <w:r>
        <w:t xml:space="preserve">是关键短语：在固定硬件 + 引擎 + 精度的组合下，通过扫 batch size / 并发用户数找到</w:t>
      </w:r>
      <w:r>
        <w:rPr>
          <w:bCs/>
          <w:b/>
        </w:rPr>
        <w:t xml:space="preserve">满足 SLO 时的最大吞吐</w:t>
      </w:r>
      <w:r>
        <w:t xml:space="preserve">——即服务包络线（service envelope）的最优点。换言之，给定 SLO 与硬件，先求解满足 SLO 的最大 token/s，再除以硬件分时价格得到 $/M tokens。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“</w:t>
      </w:r>
      <w:r>
        <w:rPr>
          <w:bCs/>
          <w:b/>
        </w:rPr>
        <w:t xml:space="preserve">总 token</w:t>
      </w:r>
      <w:r>
        <w:rPr>
          <w:bCs/>
          <w:b/>
        </w:rPr>
        <w:t xml:space="preserve">”</w:t>
      </w:r>
      <w:r>
        <w:t xml:space="preserve"> </w:t>
      </w:r>
      <w:r>
        <w:t xml:space="preserve">包含 prompt 与 output；与”输出 token”计费口径不同。许多商用 API（OpenAI、Anthropic）按”输入 + 输出”分项计费，但 Token 工厂常常按”内部总 token 成本”（包含 caching / prefix share / padding）衡量。InferenceX 采用后者，更接近 TCO 视角。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公式可推断为</w:t>
      </w:r>
      <w:r>
        <w:t xml:space="preserve">：</w:t>
      </w:r>
    </w:p>
    <w:p>
      <w:pPr>
        <w:numPr>
          <w:ilvl w:val="1"/>
          <w:numId w:val="1006"/>
        </w:numPr>
        <w:pStyle w:val="Compact"/>
      </w:pPr>
      <w:r>
        <w:t xml:space="preserve">每百万总 token 成本 = (硬件分时价格 × 1 小时) / (每实例满足 SLO 时的吞吐 × 3600) × 1,000,000</w:t>
      </w:r>
    </w:p>
    <w:p>
      <w:pPr>
        <w:numPr>
          <w:ilvl w:val="0"/>
          <w:numId w:val="1005"/>
        </w:numPr>
        <w:pStyle w:val="Compact"/>
      </w:pPr>
      <w:r>
        <w:t xml:space="preserve">公式未在页面给出，但</w:t>
      </w:r>
      <w:r>
        <w:t xml:space="preserve"> </w:t>
      </w:r>
      <w:r>
        <w:rPr>
          <w:rStyle w:val="VerbatimChar"/>
        </w:rPr>
        <w:t xml:space="preserve">source: AI Cloud TCO Model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Market July 2026 Pricing Surveys</w:t>
      </w:r>
      <w:r>
        <w:t xml:space="preserve"> </w:t>
      </w:r>
      <w:r>
        <w:t xml:space="preserve">提示其依赖外部云厂商报价快照，</w:t>
      </w:r>
      <w:r>
        <w:rPr>
          <w:bCs/>
          <w:b/>
        </w:rPr>
        <w:t xml:space="preserve">不能跨季度直接外推</w:t>
      </w:r>
      <w:r>
        <w:t xml:space="preserve">。</w:t>
      </w:r>
    </w:p>
    <w:bookmarkEnd w:id="30"/>
    <w:bookmarkStart w:id="31" w:name="对比-b200硬件基准与历史变化"/>
    <w:p>
      <w:pPr>
        <w:pStyle w:val="Heading3"/>
      </w:pPr>
      <w:r>
        <w:t xml:space="preserve">2.4 对比 B200（硬件基准与历史变化）</w:t>
      </w:r>
    </w:p>
    <w:p>
      <w:pPr>
        <w:pStyle w:val="FirstParagraph"/>
      </w:pPr>
      <w:r>
        <w:rPr>
          <w:bCs/>
          <w:b/>
        </w:rPr>
        <w:t xml:space="preserve">页面原文摘要</w:t>
      </w:r>
      <w:r>
        <w:t xml:space="preserve">：</w:t>
      </w:r>
    </w:p>
    <w:p>
      <w:pPr>
        <w:numPr>
          <w:ilvl w:val="0"/>
          <w:numId w:val="1007"/>
        </w:numPr>
        <w:pStyle w:val="Compact"/>
      </w:pPr>
      <w:r>
        <w:t xml:space="preserve">对比对象：NVIDIA</w:t>
      </w:r>
      <w:r>
        <w:t xml:space="preserve"> </w:t>
      </w:r>
      <w:r>
        <w:rPr>
          <w:bCs/>
          <w:b/>
        </w:rPr>
        <w:t xml:space="preserve">B200</w:t>
      </w:r>
      <w:r>
        <w:t xml:space="preserve">（表中标注为基准）</w:t>
      </w:r>
    </w:p>
    <w:p>
      <w:pPr>
        <w:numPr>
          <w:ilvl w:val="0"/>
          <w:numId w:val="1007"/>
        </w:numPr>
        <w:pStyle w:val="Compact"/>
      </w:pPr>
      <w:r>
        <w:t xml:space="preserve">第二种切换：</w:t>
      </w:r>
      <w:r>
        <w:rPr>
          <w:bCs/>
          <w:b/>
        </w:rPr>
        <w:t xml:space="preserve">历史变化（30 天）</w:t>
      </w:r>
    </w:p>
    <w:p>
      <w:pPr>
        <w:numPr>
          <w:ilvl w:val="0"/>
          <w:numId w:val="1007"/>
        </w:numPr>
        <w:pStyle w:val="Compact"/>
      </w:pPr>
      <w:r>
        <w:t xml:space="preserve">表格单元符号：</w:t>
      </w:r>
      <w:r>
        <w:rPr>
          <w:rStyle w:val="VerbatimChar"/>
        </w:rPr>
        <w:t xml:space="preserve">∞ = 缺少 B200 基线</w:t>
      </w:r>
    </w:p>
    <w:p>
      <w:pPr>
        <w:pStyle w:val="FirstParagraph"/>
      </w:pPr>
      <w:r>
        <w:rPr>
          <w:bCs/>
          <w:b/>
        </w:rPr>
        <w:t xml:space="preserve">专业解读</w:t>
      </w:r>
      <w:r>
        <w:t xml:space="preserve">：</w:t>
      </w:r>
    </w:p>
    <w:p>
      <w:pPr>
        <w:numPr>
          <w:ilvl w:val="0"/>
          <w:numId w:val="1008"/>
        </w:numPr>
        <w:pStyle w:val="Compact"/>
      </w:pPr>
      <w:r>
        <w:t xml:space="preserve">B200 作为对比基线意味着页面默认视角是”用 B200 跑同样场景需要多少钱 / 多少时间”。</w:t>
      </w:r>
    </w:p>
    <w:p>
      <w:pPr>
        <w:numPr>
          <w:ilvl w:val="0"/>
          <w:numId w:val="1008"/>
        </w:numPr>
        <w:pStyle w:val="Compact"/>
      </w:pPr>
      <w:r>
        <w:t xml:space="preserve">30 天历史变化用于跟踪新驱动 / 新框架版本对成本的影响。这是一个</w:t>
      </w:r>
      <w:r>
        <w:rPr>
          <w:bCs/>
          <w:b/>
        </w:rPr>
        <w:t xml:space="preserve">面向厂商的 progress tracker</w:t>
      </w:r>
      <w:r>
        <w:t xml:space="preserve">——当 NVIDIA 推新 NVLink 版本或 SGLang 推新 commit 时，可在 30 天曲线上看到成本骤降。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常见误区</w:t>
      </w:r>
      <w:r>
        <w:t xml:space="preserve">：B200 是基线并不等于 B200 在所有模型上最便宜。表格中存在</w:t>
      </w:r>
      <w:r>
        <w:t xml:space="preserve"> </w:t>
      </w:r>
      <w:r>
        <w:rPr>
          <w:rStyle w:val="VerbatimChar"/>
        </w:rPr>
        <w:t xml:space="preserve">∞</w:t>
      </w:r>
      <w:r>
        <w:t xml:space="preserve"> </w:t>
      </w:r>
      <w:r>
        <w:t xml:space="preserve">行，意味着当某硬件 / 模型组合连 B200 基线都没有（通常因新硬件尚未覆盖），表格会显式置空。</w:t>
      </w:r>
    </w:p>
    <w:bookmarkEnd w:id="31"/>
    <w:bookmarkStart w:id="32" w:name="引擎范围开源社区引擎-vs-全部平台"/>
    <w:p>
      <w:pPr>
        <w:pStyle w:val="Heading3"/>
      </w:pPr>
      <w:r>
        <w:t xml:space="preserve">2.5 引擎范围（开源社区引擎 vs 全部平台）</w:t>
      </w:r>
    </w:p>
    <w:p>
      <w:pPr>
        <w:pStyle w:val="FirstParagraph"/>
      </w:pPr>
      <w:r>
        <w:rPr>
          <w:bCs/>
          <w:b/>
        </w:rPr>
        <w:t xml:space="preserve">页面原文摘要</w:t>
      </w:r>
      <w:r>
        <w:t xml:space="preserve">：</w:t>
      </w:r>
    </w:p>
    <w:p>
      <w:pPr>
        <w:numPr>
          <w:ilvl w:val="0"/>
          <w:numId w:val="1009"/>
        </w:numPr>
        <w:pStyle w:val="Compact"/>
      </w:pPr>
      <w:r>
        <w:t xml:space="preserve">选项 1：</w:t>
      </w:r>
      <w:r>
        <w:t xml:space="preserve">“</w:t>
      </w:r>
      <w:r>
        <w:t xml:space="preserve">开源社区引擎（vLLM/SGLang）</w:t>
      </w:r>
      <w:r>
        <w:t xml:space="preserve">”</w:t>
      </w:r>
    </w:p>
    <w:p>
      <w:pPr>
        <w:numPr>
          <w:ilvl w:val="0"/>
          <w:numId w:val="1009"/>
        </w:numPr>
        <w:pStyle w:val="Compact"/>
      </w:pPr>
      <w:r>
        <w:t xml:space="preserve">选项 2：</w:t>
      </w:r>
      <w:r>
        <w:t xml:space="preserve">“</w:t>
      </w:r>
      <w:r>
        <w:t xml:space="preserve">所有平台</w:t>
      </w:r>
      <w:r>
        <w:t xml:space="preserve">”</w:t>
      </w:r>
    </w:p>
    <w:p>
      <w:pPr>
        <w:pStyle w:val="FirstParagraph"/>
      </w:pPr>
      <w:r>
        <w:rPr>
          <w:bCs/>
          <w:b/>
        </w:rPr>
        <w:t xml:space="preserve">专业解读</w:t>
      </w:r>
      <w:r>
        <w:t xml:space="preserve">：所有页面出现的引擎：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引擎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来源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是否”开源社区”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vLLM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UC Berkeley 衍生项目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✅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SGLang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UC Berkeley 衍生项目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✅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Dynamo vLLM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NVIDIA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介于开源与厂商之间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Dynamo SGLang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NVIDIA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同上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MoRI SGLang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同上</w:t>
            </w:r>
          </w:p>
        </w:tc>
      </w:tr>
    </w:tbl>
    <w:p>
      <w:pPr>
        <w:pStyle w:val="BodyText"/>
      </w:pPr>
      <w:r>
        <w:t xml:space="preserve">切换”开源社区引擎”将过滤掉 Dynamo / MoRI 等带厂商色彩的实现，只保留由独立社区维护的 vLLM / SGLang。这是为买家隔离”客观基准”与”厂商优化”的视图。</w:t>
      </w:r>
    </w:p>
    <w:bookmarkEnd w:id="32"/>
    <w:bookmarkStart w:id="33" w:name="模型精度fp4-fp8-bf16-int4"/>
    <w:p>
      <w:pPr>
        <w:pStyle w:val="Heading3"/>
      </w:pPr>
      <w:r>
        <w:t xml:space="preserve">2.6 模型精度（FP4 / FP8 / BF16 / INT4）</w:t>
      </w:r>
    </w:p>
    <w:p>
      <w:pPr>
        <w:pStyle w:val="FirstParagraph"/>
      </w:pPr>
      <w:r>
        <w:rPr>
          <w:bCs/>
          <w:b/>
        </w:rPr>
        <w:t xml:space="preserve">页面原文摘要</w:t>
      </w:r>
      <w:r>
        <w:t xml:space="preserve">：</w:t>
      </w:r>
    </w:p>
    <w:p>
      <w:pPr>
        <w:pStyle w:val="BlockText"/>
      </w:pPr>
      <w:r>
        <w:t xml:space="preserve">“</w:t>
      </w:r>
      <w:r>
        <w:t xml:space="preserve">如果某款芯片没有可用的 FP4 投机解码配置，则改用次优配置。</w:t>
      </w:r>
      <w:r>
        <w:t xml:space="preserve">”</w:t>
      </w:r>
    </w:p>
    <w:p>
      <w:pPr>
        <w:pStyle w:val="FirstParagraph"/>
      </w:pPr>
      <w:r>
        <w:t xml:space="preserve">页面出现的精度标签集合：</w:t>
      </w:r>
      <w:r>
        <w:rPr>
          <w:bCs/>
          <w:b/>
        </w:rPr>
        <w:t xml:space="preserve">FP4、FP8、BF16、INT4</w:t>
      </w:r>
      <w:r>
        <w:t xml:space="preserve">（来自 about 页）；运行配置中实际大量出现</w:t>
      </w:r>
      <w:r>
        <w:t xml:space="preserve"> </w:t>
      </w:r>
      <w:r>
        <w:rPr>
          <w:bCs/>
          <w:b/>
        </w:rPr>
        <w:t xml:space="preserve">FP4</w:t>
      </w:r>
      <w:r>
        <w:t xml:space="preserve"> </w:t>
      </w:r>
      <w:r>
        <w:t xml:space="preserve">与</w:t>
      </w:r>
      <w:r>
        <w:t xml:space="preserve"> </w:t>
      </w:r>
      <w:r>
        <w:rPr>
          <w:bCs/>
          <w:b/>
        </w:rPr>
        <w:t xml:space="preserve">FP8</w:t>
      </w:r>
      <w:r>
        <w:t xml:space="preserve">，BF16/INT4 在 overview 列出的当前组合中较少。</w:t>
      </w:r>
    </w:p>
    <w:p>
      <w:pPr>
        <w:pStyle w:val="BodyText"/>
      </w:pPr>
      <w:r>
        <w:rPr>
          <w:bCs/>
          <w:b/>
        </w:rPr>
        <w:t xml:space="preserve">专业解读</w:t>
      </w:r>
      <w:r>
        <w:t xml:space="preserve">：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FP4</w:t>
      </w:r>
      <w:r>
        <w:t xml:space="preserve">：4-bit 浮点（E2M1 / NVFP4 等微格式）；是 NVIDIA Blackwell（B200/GB200）原生支持的精度。表格中</w:t>
      </w:r>
      <w:r>
        <w:rPr>
          <w:bCs/>
          <w:b/>
        </w:rPr>
        <w:t xml:space="preserve">几乎所有当前型号都用 FP4</w:t>
      </w:r>
      <w:r>
        <w:t xml:space="preserve">，反映”小数值精度 + 投机解码”已成为前沿推理的事实标准。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FP8</w:t>
      </w:r>
      <w:r>
        <w:t xml:space="preserve">：E4M3 / E5M2，与 FP4 同样属于 NVIDIA Transformer Engine 体系。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BF16</w:t>
      </w:r>
      <w:r>
        <w:t xml:space="preserve">：Brain Float 16，是训练与 INT8 量化的中间态；overview 表格中暂未出现。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INT4</w:t>
      </w:r>
      <w:r>
        <w:t xml:space="preserve">：传统整型 4-bit；可走 AWQ / GPTQ / SmoothQuant 等路径，但与 FP4 路径不通用。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业务含义</w:t>
      </w:r>
      <w:r>
        <w:t xml:space="preserve">：FP4 不等于传统 INT4。FP4 保留浮点动态范围，在保持模型量化准确率上优于 INT4，但硬件必须原生支持 Tensor Core FP4 path（Blackwell / CDNA3 及更新）。表格中各型号精度严格受硬件能力约束。</w:t>
      </w:r>
    </w:p>
    <w:bookmarkEnd w:id="33"/>
    <w:bookmarkStart w:id="34" w:name="推理引擎vllm-sglang-dynamo-mori"/>
    <w:p>
      <w:pPr>
        <w:pStyle w:val="Heading3"/>
      </w:pPr>
      <w:r>
        <w:t xml:space="preserve">2.7 推理引擎（vLLM / SGLang / Dynamo / MoRI）</w:t>
      </w:r>
    </w:p>
    <w:p>
      <w:pPr>
        <w:pStyle w:val="FirstParagraph"/>
      </w:pPr>
      <w:r>
        <w:rPr>
          <w:bCs/>
          <w:b/>
        </w:rPr>
        <w:t xml:space="preserve">页面原文摘要</w:t>
      </w:r>
      <w:r>
        <w:t xml:space="preserve">：overview 表格中作为运行配置标签出现</w:t>
      </w:r>
    </w:p>
    <w:p>
      <w:pPr>
        <w:pStyle w:val="BodyText"/>
      </w:pPr>
      <w:r>
        <w:rPr>
          <w:bCs/>
          <w:b/>
        </w:rPr>
        <w:t xml:space="preserve">专业解读</w:t>
      </w:r>
      <w:r>
        <w:t xml:space="preserve">：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vLLM</w:t>
      </w:r>
      <w:r>
        <w:t xml:space="preserve">：UC Berkeley 系，强调 PagedAttention、连续批处理（continuous batching）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SGLang</w:t>
      </w:r>
      <w:r>
        <w:t xml:space="preserve">：同样 UC Berkeley 系，强调 RadixAttention（prefix cache 复用）、结构化输出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Dynamo</w:t>
      </w:r>
      <w:r>
        <w:t xml:space="preserve">：NVIDIA 推出的分布式推理编排框架，与 vLLM / SGLang 在 disaggregated serving 路径上深度集成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MoRI</w:t>
      </w:r>
      <w:r>
        <w:t xml:space="preserve">：AMD MI355X 上的 SGLang 衍生发行版（推测为</w:t>
      </w:r>
      <w:r>
        <w:t xml:space="preserve"> </w:t>
      </w:r>
      <w:r>
        <w:t xml:space="preserve">“</w:t>
      </w:r>
      <w:r>
        <w:t xml:space="preserve">MoE + ROCm + Inference</w:t>
      </w:r>
      <w:r>
        <w:t xml:space="preserve">”</w:t>
      </w:r>
      <w:r>
        <w:t xml:space="preserve"> </w:t>
      </w:r>
      <w:r>
        <w:t xml:space="preserve">缩写）</w:t>
      </w:r>
    </w:p>
    <w:p>
      <w:pPr>
        <w:pStyle w:val="FirstParagraph"/>
      </w:pPr>
      <w:r>
        <w:rPr>
          <w:rStyle w:val="VerbatimChar"/>
        </w:rPr>
        <w:t xml:space="preserve">MTP / DSpark / DRAFT_MODEL / 8P+8D</w:t>
      </w:r>
      <w:r>
        <w:t xml:space="preserve"> </w:t>
      </w:r>
      <w:r>
        <w:t xml:space="preserve">等后缀详见 §2.9 场景标签解读。</w:t>
      </w:r>
    </w:p>
    <w:bookmarkEnd w:id="34"/>
    <w:bookmarkStart w:id="35" w:name="场景标签agentx-8k-1k-1k-1k-1k-8k"/>
    <w:p>
      <w:pPr>
        <w:pStyle w:val="Heading3"/>
      </w:pPr>
      <w:r>
        <w:t xml:space="preserve">2.8 场景标签（AgentX / 8K-1K / 1K-1K / 1K-8K）</w:t>
      </w:r>
    </w:p>
    <w:p>
      <w:pPr>
        <w:pStyle w:val="FirstParagraph"/>
      </w:pPr>
      <w:r>
        <w:rPr>
          <w:bCs/>
          <w:b/>
        </w:rPr>
        <w:t xml:space="preserve">页面原文摘要</w:t>
      </w:r>
      <w:r>
        <w:t xml:space="preserve">：</w:t>
      </w:r>
    </w:p>
    <w:p>
      <w:pPr>
        <w:numPr>
          <w:ilvl w:val="0"/>
          <w:numId w:val="1012"/>
        </w:numPr>
        <w:pStyle w:val="Compact"/>
      </w:pPr>
      <w:r>
        <w:t xml:space="preserve">AgentX：</w:t>
      </w:r>
      <w:r>
        <w:t xml:space="preserve">“</w:t>
      </w:r>
      <w:r>
        <w:t xml:space="preserve">长上下文、多轮交互的真实智能体场景</w:t>
      </w:r>
      <w:r>
        <w:t xml:space="preserve">”</w:t>
      </w:r>
    </w:p>
    <w:p>
      <w:pPr>
        <w:numPr>
          <w:ilvl w:val="0"/>
          <w:numId w:val="1012"/>
        </w:numPr>
        <w:pStyle w:val="Compact"/>
      </w:pPr>
      <w:r>
        <w:t xml:space="preserve">其他场景标签：8K/1K（即 ISL=8K、OSL=1K）；以及 1K/1K、1K/8K（来自 about 页）</w:t>
      </w:r>
    </w:p>
    <w:p>
      <w:pPr>
        <w:pStyle w:val="FirstParagraph"/>
      </w:pPr>
      <w:r>
        <w:rPr>
          <w:bCs/>
          <w:b/>
        </w:rPr>
        <w:t xml:space="preserve">专业解读</w:t>
      </w:r>
      <w:r>
        <w:t xml:space="preserve">：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场景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OSL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适用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1K/1K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短对话 / 单轮总结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1K/8K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8192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长输出：写作 / 代码生成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8K/1K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8192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RAG、长上下文摘要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AgentX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动态长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多轮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编码智能体，sub-agent fan-out</w:t>
            </w:r>
          </w:p>
        </w:tc>
      </w:tr>
    </w:tbl>
    <w:p>
      <w:pPr>
        <w:pStyle w:val="BodyText"/>
      </w:pPr>
      <w:r>
        <w:rPr>
          <w:bCs/>
          <w:b/>
        </w:rPr>
        <w:t xml:space="preserve">专业含义</w:t>
      </w:r>
      <w:r>
        <w:t xml:space="preserve">：</w:t>
      </w:r>
    </w:p>
    <w:p>
      <w:pPr>
        <w:numPr>
          <w:ilvl w:val="0"/>
          <w:numId w:val="1013"/>
        </w:numPr>
        <w:pStyle w:val="Compact"/>
      </w:pPr>
      <w:r>
        <w:t xml:space="preserve">AgentX 不是简单的固定序列：负载”形态”（输入/输出长度、前缀共享、子智能体拓扑、轮次间延迟）来自</w:t>
      </w:r>
      <w:r>
        <w:t xml:space="preserve"> </w:t>
      </w:r>
      <w:r>
        <w:rPr>
          <w:bCs/>
          <w:b/>
        </w:rPr>
        <w:t xml:space="preserve">SemiAnalysis 公开的 Weka 格式智能体编码轨迹语料</w:t>
      </w:r>
      <w:r>
        <w:t xml:space="preserve">，prompt 文本是合成的</w:t>
      </w:r>
    </w:p>
    <w:p>
      <w:pPr>
        <w:numPr>
          <w:ilvl w:val="0"/>
          <w:numId w:val="1013"/>
        </w:numPr>
        <w:pStyle w:val="Compact"/>
      </w:pPr>
      <w:r>
        <w:t xml:space="preserve">默认运行</w:t>
      </w:r>
      <w:r>
        <w:t xml:space="preserve"> </w:t>
      </w:r>
      <w:r>
        <w:rPr>
          <w:bCs/>
          <w:b/>
        </w:rPr>
        <w:t xml:space="preserve">1,800 秒</w:t>
      </w:r>
      <w:r>
        <w:t xml:space="preserve">（即 30 分钟），最少 900 秒</w:t>
      </w:r>
    </w:p>
    <w:p>
      <w:pPr>
        <w:numPr>
          <w:ilvl w:val="0"/>
          <w:numId w:val="1013"/>
        </w:numPr>
        <w:pStyle w:val="Compact"/>
      </w:pPr>
      <w:r>
        <w:t xml:space="preserve">不确定性来源：</w:t>
      </w:r>
      <w:r>
        <w:t xml:space="preserve">“</w:t>
      </w:r>
      <w:r>
        <w:t xml:space="preserve">前缀缓存复用</w:t>
      </w:r>
      <w:r>
        <w:t xml:space="preserve">”</w:t>
      </w:r>
      <w:r>
        <w:t xml:space="preserve">是否计入成本可能在不同模型上有差异，</w:t>
      </w:r>
      <w:r>
        <w:rPr>
          <w:bCs/>
          <w:b/>
        </w:rPr>
        <w:t xml:space="preserve">页面未明示</w:t>
      </w:r>
    </w:p>
    <w:bookmarkEnd w:id="35"/>
    <w:bookmarkStart w:id="36" w:name="投机解码-mtp-dspark-8p8d-等后缀"/>
    <w:p>
      <w:pPr>
        <w:pStyle w:val="Heading3"/>
      </w:pPr>
      <w:r>
        <w:t xml:space="preserve">2.9 投机解码 / MTP / DSpark / 8P+8D 等后缀</w:t>
      </w:r>
    </w:p>
    <w:p>
      <w:pPr>
        <w:pStyle w:val="FirstParagraph"/>
      </w:pPr>
      <w:r>
        <w:rPr>
          <w:bCs/>
          <w:b/>
        </w:rPr>
        <w:t xml:space="preserve">页面原文摘要（出现的后缀）</w:t>
      </w:r>
      <w:r>
        <w:t xml:space="preserve">：</w:t>
      </w:r>
    </w:p>
    <w:p>
      <w:pPr>
        <w:numPr>
          <w:ilvl w:val="0"/>
          <w:numId w:val="1014"/>
        </w:numPr>
        <w:pStyle w:val="Compact"/>
      </w:pPr>
      <w:r>
        <w:rPr>
          <w:rStyle w:val="VerbatimChar"/>
        </w:rPr>
        <w:t xml:space="preserve">DRAFT_MODEL</w:t>
      </w:r>
      <w:r>
        <w:t xml:space="preserve">：表示使用单独的 draft 模型做投机解码</w:t>
      </w:r>
    </w:p>
    <w:p>
      <w:pPr>
        <w:numPr>
          <w:ilvl w:val="0"/>
          <w:numId w:val="1014"/>
        </w:numPr>
        <w:pStyle w:val="Compact"/>
      </w:pPr>
      <w:r>
        <w:rPr>
          <w:rStyle w:val="VerbatimChar"/>
        </w:rPr>
        <w:t xml:space="preserve">MTP</w:t>
      </w:r>
      <w:r>
        <w:t xml:space="preserve">：Multi-Token Prediction，原模型内一次性预测多个 token</w:t>
      </w:r>
    </w:p>
    <w:p>
      <w:pPr>
        <w:numPr>
          <w:ilvl w:val="0"/>
          <w:numId w:val="1014"/>
        </w:numPr>
        <w:pStyle w:val="Compact"/>
      </w:pPr>
      <w:r>
        <w:rPr>
          <w:rStyle w:val="VerbatimChar"/>
        </w:rPr>
        <w:t xml:space="preserve">DSpark</w:t>
      </w:r>
      <w:r>
        <w:t xml:space="preserve">（Kimi K3 出现）：推测为 DeepSeek 风格的 Speculative Decoding / Speculative Verify 路径</w:t>
      </w:r>
    </w:p>
    <w:p>
      <w:pPr>
        <w:numPr>
          <w:ilvl w:val="0"/>
          <w:numId w:val="1014"/>
        </w:numPr>
        <w:pStyle w:val="Compact"/>
      </w:pPr>
      <w:r>
        <w:rPr>
          <w:rStyle w:val="VerbatimChar"/>
        </w:rPr>
        <w:t xml:space="preserve">STP</w:t>
      </w:r>
      <w:r>
        <w:t xml:space="preserve">：推测为 Speculative Token Prediction 之同类实现</w:t>
      </w:r>
    </w:p>
    <w:p>
      <w:pPr>
        <w:numPr>
          <w:ilvl w:val="0"/>
          <w:numId w:val="1014"/>
        </w:numPr>
        <w:pStyle w:val="Compact"/>
      </w:pPr>
      <w:r>
        <w:rPr>
          <w:rStyle w:val="VerbatimChar"/>
        </w:rPr>
        <w:t xml:space="preserve">8P+8D / 16P+16D / 4P+8D</w:t>
      </w:r>
      <w:r>
        <w:t xml:space="preserve">：例如 MI355X 上 DeepSeek V4 Pro 1.6T 的 FP4 配置为</w:t>
      </w:r>
      <w:r>
        <w:t xml:space="preserve"> </w:t>
      </w:r>
      <w:r>
        <w:rPr>
          <w:rStyle w:val="VerbatimChar"/>
        </w:rPr>
        <w:t xml:space="preserve">8P+8D</w:t>
      </w:r>
      <w:r>
        <w:t xml:space="preserve">——结合 LLM serving 语境，意为</w:t>
      </w:r>
      <w:r>
        <w:t xml:space="preserve"> </w:t>
      </w:r>
      <w:r>
        <w:rPr>
          <w:bCs/>
          <w:b/>
        </w:rPr>
        <w:t xml:space="preserve">8 路 Prefill + 8 路 Decode</w:t>
      </w:r>
      <w:r>
        <w:t xml:space="preserve"> </w:t>
      </w:r>
      <w:r>
        <w:t xml:space="preserve">的 disaggregated serving 拓扑</w:t>
      </w:r>
    </w:p>
    <w:p>
      <w:pPr>
        <w:pStyle w:val="FirstParagraph"/>
      </w:pPr>
      <w:r>
        <w:rPr>
          <w:bCs/>
          <w:b/>
        </w:rPr>
        <w:t xml:space="preserve">专业解读</w:t>
      </w:r>
      <w:r>
        <w:t xml:space="preserve">：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Disaggregated serving</w:t>
      </w:r>
      <w:r>
        <w:t xml:space="preserve">（prefill / decode 分离）是现代 Token 工厂的主流架构。数字越大代表可独立扩展的并行度越高、对单请求 SLA 越友好。</w:t>
      </w:r>
    </w:p>
    <w:p>
      <w:pPr>
        <w:numPr>
          <w:ilvl w:val="0"/>
          <w:numId w:val="1015"/>
        </w:numPr>
        <w:pStyle w:val="Compact"/>
      </w:pPr>
      <w:r>
        <w:rPr>
          <w:rStyle w:val="VerbatimChar"/>
        </w:rPr>
        <w:t xml:space="preserve">P+D</w:t>
      </w:r>
      <w:r>
        <w:t xml:space="preserve"> </w:t>
      </w:r>
      <w:r>
        <w:t xml:space="preserve">后缀</w:t>
      </w:r>
      <w:r>
        <w:rPr>
          <w:bCs/>
          <w:b/>
        </w:rPr>
        <w:t xml:space="preserve">仅在多 GPU / 多节点场景下有意义</w:t>
      </w:r>
      <w:r>
        <w:t xml:space="preserve">，单卡推理不会出现该后缀。</w:t>
      </w:r>
    </w:p>
    <w:p>
      <w:pPr>
        <w:numPr>
          <w:ilvl w:val="0"/>
          <w:numId w:val="1015"/>
        </w:numPr>
        <w:pStyle w:val="Compact"/>
      </w:pPr>
      <w:r>
        <w:t xml:space="preserve">页面</w:t>
      </w:r>
      <w:r>
        <w:rPr>
          <w:bCs/>
          <w:b/>
        </w:rPr>
        <w:t xml:space="preserve">未提供</w:t>
      </w:r>
      <w:r>
        <w:t xml:space="preserve">这些后缀的定义文档——读者需结合英文学术或工程博客推断。</w:t>
      </w:r>
    </w:p>
    <w:bookmarkEnd w:id="36"/>
    <w:bookmarkStart w:id="37" w:name="任务大纲列出但页面未提供-信息受限的指标"/>
    <w:p>
      <w:pPr>
        <w:pStyle w:val="Heading3"/>
      </w:pPr>
      <w:r>
        <w:t xml:space="preserve">2.10 任务大纲列出但页面未提供 / 信息受限的指标</w:t>
      </w:r>
    </w:p>
    <w:p>
      <w:pPr>
        <w:pStyle w:val="FirstParagraph"/>
      </w:pPr>
      <w:r>
        <w:t xml:space="preserve">下表对</w:t>
      </w:r>
      <w:r>
        <w:rPr>
          <w:bCs/>
          <w:b/>
        </w:rPr>
        <w:t xml:space="preserve">用户在原始任务大纲中明确点名的指标</w:t>
      </w:r>
      <w:r>
        <w:t xml:space="preserve">，对照页面实际呈现情况进行逐项标注：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大纲列举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页面是否给出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状态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Tokens / second（吞吐）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仅以 tok/s/user 体现总吞吐 = tok/s/user × 并发数；未直接暴露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信息受限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Latency（首 token 延迟 / 端到端 / 单步延迟）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页面未出现独立 latency 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页面未提供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TTFT（Time to First Token）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未出现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页面未提供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ITL（Inter-token Latency）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通过 tok/s/user 与 SLO 反推可推断，但无独立字段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信息受限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Batch Size / Concurrency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未以字段形式暴露，但”每百万总 token 成本”计算隐含 batch scanning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页面未提供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Cost per Request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未以字段形式暴露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页面未提供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Cost per 1M Tokens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✅ 主字段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已覆盖（§2.3）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Power Consumption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about 提及”芯片功耗遥测”采集，但未在 overview 展示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信息受限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Tokens per Watt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未出现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页面未提供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Model Precision（FP16 / INT8 / INT4 / AWQ / GPTQ）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仅 FP4/FP8 实际出现；AWQ/GPTQ 等命名路径未出现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部分覆盖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Model Size（7B / 13B / 70B…）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表格中模型标记如”DeepSeek V4 Pro 1.6T”、</w:t>
            </w:r>
            <w:r>
              <w:t xml:space="preserve">“</w:t>
            </w:r>
            <w:r>
              <w:t xml:space="preserve">Kimi K3 2.8T</w:t>
            </w:r>
            <w:r>
              <w:t xml:space="preserve">”</w:t>
            </w:r>
            <w:r>
              <w:t xml:space="preserve">、</w:t>
            </w:r>
            <w:r>
              <w:t xml:space="preserve">“</w:t>
            </w:r>
            <w:r>
              <w:t xml:space="preserve">MiniMax M3 428B</w:t>
            </w:r>
            <w:r>
              <w:t xml:space="preserve">”</w:t>
            </w:r>
            <w:r>
              <w:t xml:space="preserve">等体现规模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已覆盖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Hardware / TDP / 显存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列出 GPU 型号，未列 TDP / 显存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信息受限</w:t>
            </w:r>
          </w:p>
        </w:tc>
      </w:tr>
    </w:tbl>
    <w:p>
      <w:pPr>
        <w:pStyle w:val="BodyText"/>
      </w:pPr>
      <w:r>
        <w:rPr>
          <w:bCs/>
          <w:b/>
        </w:rPr>
        <w:t xml:space="preserve">建议补充来源</w:t>
      </w:r>
      <w:r>
        <w:t xml:space="preserve">（不在本报告虚构）：要补齐 latency / TTFT / tokens-per-watt 字段，可访问 InferenceX 仪表板（</w:t>
      </w:r>
      <w:r>
        <w:rPr>
          <w:rStyle w:val="VerbatimChar"/>
        </w:rPr>
        <w:t xml:space="preserve">/zh/dashboard</w:t>
      </w:r>
      <w:r>
        <w:t xml:space="preserve">）或仓库</w:t>
      </w:r>
      <w:r>
        <w:t xml:space="preserve"> </w:t>
      </w:r>
      <w:r>
        <w:rPr>
          <w:rStyle w:val="VerbatimChar"/>
        </w:rPr>
        <w:t xml:space="preserve">benchmarks/</w:t>
      </w:r>
      <w:r>
        <w:t xml:space="preserve"> </w:t>
      </w:r>
      <w:r>
        <w:t xml:space="preserve">中每个场景的附表。</w:t>
      </w:r>
    </w:p>
    <w:bookmarkEnd w:id="37"/>
    <w:bookmarkEnd w:id="38"/>
    <w:bookmarkStart w:id="53" w:name="数据来源data-source"/>
    <w:p>
      <w:pPr>
        <w:pStyle w:val="Heading2"/>
      </w:pPr>
      <w:r>
        <w:t xml:space="preserve">3. 数据来源（Data Source）</w:t>
      </w:r>
    </w:p>
    <w:bookmarkStart w:id="39" w:name="硬件平台"/>
    <w:p>
      <w:pPr>
        <w:pStyle w:val="Heading3"/>
      </w:pPr>
      <w:r>
        <w:t xml:space="preserve">3.1 硬件平台</w:t>
      </w:r>
    </w:p>
    <w:p>
      <w:pPr>
        <w:pStyle w:val="FirstParagraph"/>
      </w:pPr>
      <w:r>
        <w:rPr>
          <w:bCs/>
          <w:b/>
        </w:rPr>
        <w:t xml:space="preserve">页面原文摘要（来自</w:t>
      </w:r>
      <w:r>
        <w:rPr>
          <w:bCs/>
          <w:b/>
        </w:rPr>
        <w:t xml:space="preserve"> </w:t>
      </w:r>
      <w:r>
        <w:rPr>
          <w:rStyle w:val="VerbatimChar"/>
          <w:bCs/>
          <w:b/>
        </w:rPr>
        <w:t xml:space="preserve">/zh/overview</w:t>
      </w:r>
      <w:r>
        <w:rPr>
          <w:bCs/>
          <w:b/>
        </w:rPr>
        <w:t xml:space="preserve"> </w:t>
      </w:r>
      <w:r>
        <w:rPr>
          <w:bCs/>
          <w:b/>
        </w:rPr>
        <w:t xml:space="preserve">与</w:t>
      </w:r>
      <w:r>
        <w:rPr>
          <w:bCs/>
          <w:b/>
        </w:rPr>
        <w:t xml:space="preserve"> </w:t>
      </w:r>
      <w:r>
        <w:rPr>
          <w:rStyle w:val="VerbatimChar"/>
          <w:bCs/>
          <w:b/>
        </w:rPr>
        <w:t xml:space="preserve">/zh/about</w:t>
      </w:r>
      <w:r>
        <w:rPr>
          <w:bCs/>
          <w:b/>
        </w:rPr>
        <w:t xml:space="preserve"> </w:t>
      </w:r>
      <w:r>
        <w:rPr>
          <w:bCs/>
          <w:b/>
        </w:rPr>
        <w:t xml:space="preserve">汇总）</w:t>
      </w:r>
      <w:r>
        <w:t xml:space="preserve">：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NVIDIA</w:t>
      </w:r>
      <w:r>
        <w:t xml:space="preserve">：H100、H200、B200、B300、GB200 NVL72、GB300 NVL72、RTX6000 PRO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AMD</w:t>
      </w:r>
      <w:r>
        <w:t xml:space="preserve">：MI300X、MI325X、MI355X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OpenAI</w:t>
      </w:r>
      <w:r>
        <w:t xml:space="preserve">：JALAPEÑO（页面提及但未给出详细规格）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Google</w:t>
      </w:r>
      <w:r>
        <w:t xml:space="preserve">：TPU v7（页面提及但中文 overview 表中未作为当前可比项出现）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未来预告（英文首页）</w:t>
      </w:r>
      <w:r>
        <w:t xml:space="preserve">：TPUv8i、SambaNova SN50、Rubin NVL72、MI455X UALoE72</w:t>
      </w:r>
    </w:p>
    <w:p>
      <w:pPr>
        <w:pStyle w:val="FirstParagraph"/>
      </w:pPr>
      <w:r>
        <w:rPr>
          <w:bCs/>
          <w:b/>
        </w:rPr>
        <w:t xml:space="preserve">注意点</w:t>
      </w:r>
      <w:r>
        <w:t xml:space="preserve">：</w:t>
      </w:r>
    </w:p>
    <w:p>
      <w:pPr>
        <w:numPr>
          <w:ilvl w:val="0"/>
          <w:numId w:val="1017"/>
        </w:numPr>
        <w:pStyle w:val="Compact"/>
      </w:pPr>
      <w:r>
        <w:t xml:space="preserve">overview 表中</w:t>
      </w:r>
      <w:r>
        <w:rPr>
          <w:bCs/>
          <w:b/>
        </w:rPr>
        <w:t xml:space="preserve">当前可比项</w:t>
      </w:r>
      <w:r>
        <w:t xml:space="preserve">主要为 B200/B300/GB200/GB300 NVL72/MI355X；其他型号仅作为预告</w:t>
      </w:r>
    </w:p>
    <w:p>
      <w:pPr>
        <w:numPr>
          <w:ilvl w:val="0"/>
          <w:numId w:val="1017"/>
        </w:numPr>
        <w:pStyle w:val="Compact"/>
      </w:pPr>
      <w:r>
        <w:t xml:space="preserve">表中存在”μ = 无结果”标记，意味着硬件虽存在但尚未完成覆盖测试</w:t>
      </w:r>
    </w:p>
    <w:bookmarkEnd w:id="39"/>
    <w:bookmarkStart w:id="40" w:name="软件栈"/>
    <w:p>
      <w:pPr>
        <w:pStyle w:val="Heading3"/>
      </w:pPr>
      <w:r>
        <w:t xml:space="preserve">3.2 软件栈</w:t>
      </w:r>
    </w:p>
    <w:p>
      <w:pPr>
        <w:pStyle w:val="FirstParagraph"/>
      </w:pPr>
      <w:r>
        <w:rPr>
          <w:bCs/>
          <w:b/>
        </w:rPr>
        <w:t xml:space="preserve">页面原文摘要</w:t>
      </w:r>
      <w:r>
        <w:t xml:space="preserve">：vLLM、SGLang、Dynamo vLLM、Dynamo SGLang、MoRI SGLang。</w:t>
      </w:r>
    </w:p>
    <w:p>
      <w:pPr>
        <w:pStyle w:val="BodyText"/>
      </w:pPr>
      <w:r>
        <w:rPr>
          <w:bCs/>
          <w:b/>
        </w:rPr>
        <w:t xml:space="preserve">专业解读</w:t>
      </w:r>
      <w:r>
        <w:t xml:space="preserve">：</w:t>
      </w:r>
    </w:p>
    <w:p>
      <w:pPr>
        <w:numPr>
          <w:ilvl w:val="0"/>
          <w:numId w:val="1018"/>
        </w:numPr>
        <w:pStyle w:val="Compact"/>
      </w:pPr>
      <w:r>
        <w:t xml:space="preserve">没有出现 TRT-LLM（Triton TensorRT-LLM）——与 MLPerf Inference 历史上主要使用 TRT-LLM 路径不同，InferenceX 选择了开源生态。但 NVIDIA 通过 Dynamo vLLM / SGLang 实质上仍能享受 TensorRT-LLM 加速（内部 plugin / Inflight Batching 等被 Dynamo 继承）</w:t>
      </w:r>
    </w:p>
    <w:p>
      <w:pPr>
        <w:numPr>
          <w:ilvl w:val="0"/>
          <w:numId w:val="1018"/>
        </w:numPr>
        <w:pStyle w:val="Compact"/>
      </w:pPr>
      <w:r>
        <w:t xml:space="preserve">AMD MI355X 通过</w:t>
      </w:r>
      <w:r>
        <w:t xml:space="preserve"> </w:t>
      </w:r>
      <w:r>
        <w:rPr>
          <w:bCs/>
          <w:b/>
        </w:rPr>
        <w:t xml:space="preserve">MoRI SGLang</w:t>
      </w:r>
      <w:r>
        <w:t xml:space="preserve">（ROCm 上跑的 SGLang 衍生发行版）覆盖</w:t>
      </w:r>
    </w:p>
    <w:p>
      <w:pPr>
        <w:numPr>
          <w:ilvl w:val="0"/>
          <w:numId w:val="1018"/>
        </w:numPr>
        <w:pStyle w:val="Compact"/>
      </w:pPr>
      <w:r>
        <w:t xml:space="preserve">CUDA 与 ROCm 是关于页明确列出的两个底层 runtime</w:t>
      </w:r>
    </w:p>
    <w:bookmarkEnd w:id="40"/>
    <w:bookmarkStart w:id="41" w:name="模型来源"/>
    <w:p>
      <w:pPr>
        <w:pStyle w:val="Heading3"/>
      </w:pPr>
      <w:r>
        <w:t xml:space="preserve">3.3 模型来源</w:t>
      </w:r>
    </w:p>
    <w:p>
      <w:pPr>
        <w:pStyle w:val="FirstParagraph"/>
      </w:pPr>
      <w:r>
        <w:rPr>
          <w:bCs/>
          <w:b/>
        </w:rPr>
        <w:t xml:space="preserve">页面原文摘要（模型清单）</w:t>
      </w:r>
      <w:r>
        <w:t xml:space="preserve">：</w:t>
      </w:r>
    </w:p>
    <w:p>
      <w:pPr>
        <w:numPr>
          <w:ilvl w:val="0"/>
          <w:numId w:val="1019"/>
        </w:numPr>
        <w:pStyle w:val="Compact"/>
      </w:pPr>
      <w:r>
        <w:t xml:space="preserve">DeepSeek V4 Pro 0813 1.6T</w:t>
      </w:r>
    </w:p>
    <w:p>
      <w:pPr>
        <w:numPr>
          <w:ilvl w:val="0"/>
          <w:numId w:val="1019"/>
        </w:numPr>
        <w:pStyle w:val="Compact"/>
      </w:pPr>
      <w:r>
        <w:t xml:space="preserve">DeepSeek V4.1 Flash 552B</w:t>
      </w:r>
    </w:p>
    <w:p>
      <w:pPr>
        <w:numPr>
          <w:ilvl w:val="0"/>
          <w:numId w:val="1019"/>
        </w:numPr>
        <w:pStyle w:val="Compact"/>
      </w:pPr>
      <w:r>
        <w:t xml:space="preserve">Kimi K3 2.8T</w:t>
      </w:r>
    </w:p>
    <w:p>
      <w:pPr>
        <w:numPr>
          <w:ilvl w:val="0"/>
          <w:numId w:val="1019"/>
        </w:numPr>
        <w:pStyle w:val="Compact"/>
      </w:pPr>
      <w:r>
        <w:t xml:space="preserve">MiniMax M3 428B（页面注释：该行所有平台结果均为”无精确</w:t>
      </w:r>
      <w:r>
        <w:t xml:space="preserve"> </w:t>
      </w:r>
      <w:r>
        <w:t xml:space="preserve">@50</w:t>
      </w:r>
      <w:r>
        <w:t xml:space="preserve"> </w:t>
      </w:r>
      <w:r>
        <w:t xml:space="preserve">结果”）</w:t>
      </w:r>
    </w:p>
    <w:p>
      <w:pPr>
        <w:numPr>
          <w:ilvl w:val="0"/>
          <w:numId w:val="1019"/>
        </w:numPr>
        <w:pStyle w:val="Compact"/>
      </w:pPr>
      <w:r>
        <w:t xml:space="preserve">GLM5.2 / GLM5.3 744B（中文 overview 仅出现 GLM5.3 在 MI355X/SGLang/FP4/MTP 一行）</w:t>
      </w:r>
    </w:p>
    <w:p>
      <w:pPr>
        <w:numPr>
          <w:ilvl w:val="0"/>
          <w:numId w:val="1019"/>
        </w:numPr>
        <w:pStyle w:val="Compact"/>
      </w:pPr>
      <w:r>
        <w:t xml:space="preserve">Qwen3.5 397B / A17B（混合专家）</w:t>
      </w:r>
    </w:p>
    <w:p>
      <w:pPr>
        <w:numPr>
          <w:ilvl w:val="0"/>
          <w:numId w:val="1019"/>
        </w:numPr>
        <w:pStyle w:val="Compact"/>
      </w:pPr>
      <w:r>
        <w:t xml:space="preserve">Qwen3.8 Flash Next 176B</w:t>
      </w:r>
    </w:p>
    <w:p>
      <w:pPr>
        <w:pStyle w:val="FirstParagraph"/>
      </w:pPr>
      <w:r>
        <w:rPr>
          <w:bCs/>
          <w:b/>
        </w:rPr>
        <w:t xml:space="preserve">专业解读</w:t>
      </w:r>
      <w:r>
        <w:t xml:space="preserve">：</w:t>
      </w:r>
    </w:p>
    <w:p>
      <w:pPr>
        <w:numPr>
          <w:ilvl w:val="0"/>
          <w:numId w:val="1020"/>
        </w:numPr>
        <w:pStyle w:val="Compact"/>
      </w:pPr>
      <w:r>
        <w:t xml:space="preserve">模型均为</w:t>
      </w:r>
      <w:r>
        <w:rPr>
          <w:bCs/>
          <w:b/>
        </w:rPr>
        <w:t xml:space="preserve">已发布的开源权重</w:t>
      </w:r>
      <w:r>
        <w:t xml:space="preserve">（或厂商公开发布的 checkpoint）</w:t>
      </w:r>
    </w:p>
    <w:p>
      <w:pPr>
        <w:numPr>
          <w:ilvl w:val="0"/>
          <w:numId w:val="1020"/>
        </w:numPr>
        <w:pStyle w:val="Compact"/>
      </w:pPr>
      <w:r>
        <w:t xml:space="preserve">中文 overview</w:t>
      </w:r>
      <w:r>
        <w:t xml:space="preserve"> </w:t>
      </w:r>
      <w:r>
        <w:rPr>
          <w:bCs/>
          <w:b/>
        </w:rPr>
        <w:t xml:space="preserve">未提供</w:t>
      </w:r>
      <w:r>
        <w:t xml:space="preserve">模型哈希 / 校验位等完整自证信息——具体 commit 必须经</w:t>
      </w:r>
      <w:r>
        <w:t xml:space="preserve"> </w:t>
      </w:r>
      <w:r>
        <w:rPr>
          <w:rStyle w:val="VerbatimChar"/>
        </w:rPr>
        <w:t xml:space="preserve">benchmarks/</w:t>
      </w:r>
      <w:r>
        <w:t xml:space="preserve"> </w:t>
      </w:r>
      <w:r>
        <w:t xml:space="preserve">仓库确认</w:t>
      </w:r>
    </w:p>
    <w:p>
      <w:pPr>
        <w:numPr>
          <w:ilvl w:val="0"/>
          <w:numId w:val="1020"/>
        </w:numPr>
        <w:pStyle w:val="Compact"/>
      </w:pPr>
      <w:r>
        <w:t xml:space="preserve">多个模型使用 MoE 架构（DeepSeek、Kimi、Qwen3.5 A17B），故表格中大量出现</w:t>
      </w:r>
      <w:r>
        <w:t xml:space="preserve"> </w:t>
      </w:r>
      <w:r>
        <w:rPr>
          <w:rStyle w:val="VerbatimChar"/>
        </w:rPr>
        <w:t xml:space="preserve">MTP / DSpark / DRAFT_MODEL</w:t>
      </w:r>
      <w:r>
        <w:t xml:space="preserve"> </w:t>
      </w:r>
      <w:r>
        <w:t xml:space="preserve">等投机解码配置</w:t>
      </w:r>
    </w:p>
    <w:bookmarkEnd w:id="41"/>
    <w:bookmarkStart w:id="42" w:name="isl-osl-与采样"/>
    <w:p>
      <w:pPr>
        <w:pStyle w:val="Heading3"/>
      </w:pPr>
      <w:r>
        <w:t xml:space="preserve">3.4 ISL / OSL 与采样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项目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页面措辞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AgentX 输入 / 输出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动态，由真实智能体编码轨迹提取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1K/1K, 1K/8K, 8K/1K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固定序列推理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AgentX 采样时长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有效测试至少运行 900 秒，默认运行 1,800 秒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记录在产物中</w:t>
            </w:r>
          </w:p>
        </w:tc>
      </w:tr>
    </w:tbl>
    <w:p>
      <w:pPr>
        <w:pStyle w:val="BodyText"/>
      </w:pPr>
      <w:r>
        <w:rPr>
          <w:bCs/>
          <w:b/>
        </w:rPr>
        <w:t xml:space="preserve">专业含义</w:t>
      </w:r>
      <w:r>
        <w:t xml:space="preserve">：采样采用 seed 可重放，且最少 900 秒（200+ prompt × 多轮）的统计窗口足够消除大多数一次性 warm-up 抖动。</w:t>
      </w:r>
    </w:p>
    <w:bookmarkEnd w:id="42"/>
    <w:bookmarkStart w:id="45" w:name="数据更新频率与可复现性"/>
    <w:p>
      <w:pPr>
        <w:pStyle w:val="Heading3"/>
      </w:pPr>
      <w:r>
        <w:t xml:space="preserve">3.5 数据更新频率与可复现性</w:t>
      </w:r>
    </w:p>
    <w:p>
      <w:pPr>
        <w:numPr>
          <w:ilvl w:val="0"/>
          <w:numId w:val="1021"/>
        </w:numPr>
        <w:pStyle w:val="Compact"/>
      </w:pPr>
      <w:r>
        <w:rPr>
          <w:bCs/>
          <w:b/>
        </w:rPr>
        <w:t xml:space="preserve">更新触发</w:t>
      </w:r>
      <w:r>
        <w:t xml:space="preserve">：从”每日跑”改为”配置变更驱动”（新软件发布 / 驱动更新 / 新模型加入）</w:t>
      </w:r>
    </w:p>
    <w:p>
      <w:pPr>
        <w:numPr>
          <w:ilvl w:val="0"/>
          <w:numId w:val="1021"/>
        </w:numPr>
        <w:pStyle w:val="Compact"/>
      </w:pPr>
      <w:r>
        <w:rPr>
          <w:bCs/>
          <w:b/>
        </w:rPr>
        <w:t xml:space="preserve">结果溯源</w:t>
      </w:r>
      <w:r>
        <w:t xml:space="preserve">：GitHub Actions 工作流 90 天日志保留</w:t>
      </w:r>
    </w:p>
    <w:p>
      <w:pPr>
        <w:numPr>
          <w:ilvl w:val="0"/>
          <w:numId w:val="1021"/>
        </w:numPr>
        <w:pStyle w:val="Compact"/>
      </w:pPr>
      <w:r>
        <w:rPr>
          <w:bCs/>
          <w:b/>
        </w:rPr>
        <w:t xml:space="preserve">每周快照</w:t>
      </w:r>
      <w:r>
        <w:t xml:space="preserve">：完整基准测试数据库作为公开 GitHub Release</w:t>
      </w:r>
    </w:p>
    <w:p>
      <w:pPr>
        <w:numPr>
          <w:ilvl w:val="0"/>
          <w:numId w:val="1021"/>
        </w:numPr>
        <w:pStyle w:val="Compact"/>
      </w:pPr>
      <w:r>
        <w:rPr>
          <w:bCs/>
          <w:b/>
        </w:rPr>
        <w:t xml:space="preserve">代码地址</w:t>
      </w:r>
      <w:r>
        <w:t xml:space="preserve">：</w:t>
      </w:r>
      <w:hyperlink r:id="rId22">
        <w:r>
          <w:rPr>
            <w:rStyle w:val="Hyperlink"/>
          </w:rPr>
          <w:t xml:space="preserve">https://github.com/SemiAnalysisAI/InferenceX</w:t>
        </w:r>
      </w:hyperlink>
    </w:p>
    <w:p>
      <w:pPr>
        <w:numPr>
          <w:ilvl w:val="0"/>
          <w:numId w:val="1021"/>
        </w:numPr>
        <w:pStyle w:val="Compact"/>
      </w:pPr>
      <w:r>
        <w:rPr>
          <w:bCs/>
          <w:b/>
        </w:rPr>
        <w:t xml:space="preserve">测试框架</w:t>
      </w:r>
      <w:r>
        <w:t xml:space="preserve">：</w:t>
      </w:r>
      <w:hyperlink r:id="rId43">
        <w:r>
          <w:rPr>
            <w:rStyle w:val="Hyperlink"/>
          </w:rPr>
          <w:t xml:space="preserve">https://github.com/SemiAnalysisAI/agentx-harness</w:t>
        </w:r>
      </w:hyperlink>
      <w:r>
        <w:t xml:space="preserve">（AgentX 专属）</w:t>
      </w:r>
    </w:p>
    <w:p>
      <w:pPr>
        <w:numPr>
          <w:ilvl w:val="0"/>
          <w:numId w:val="1021"/>
        </w:numPr>
        <w:pStyle w:val="Compact"/>
      </w:pPr>
      <w:r>
        <w:rPr>
          <w:bCs/>
          <w:b/>
        </w:rPr>
        <w:t xml:space="preserve">可视化工具</w:t>
      </w:r>
      <w:r>
        <w:t xml:space="preserve">：</w:t>
      </w:r>
      <w:hyperlink r:id="rId44">
        <w:r>
          <w:rPr>
            <w:rStyle w:val="Hyperlink"/>
          </w:rPr>
          <w:t xml:space="preserve">https://github.com/SemiAnalysisAI/InferenceX-app</w:t>
        </w:r>
      </w:hyperlink>
    </w:p>
    <w:bookmarkEnd w:id="45"/>
    <w:bookmarkStart w:id="46" w:name="第三方交叉验证"/>
    <w:p>
      <w:pPr>
        <w:pStyle w:val="Heading3"/>
      </w:pPr>
      <w:r>
        <w:t xml:space="preserve">3.6 第三方交叉验证</w:t>
      </w:r>
    </w:p>
    <w:p>
      <w:pPr>
        <w:pStyle w:val="FirstParagraph"/>
      </w:pPr>
      <w:r>
        <w:rPr>
          <w:bCs/>
          <w:b/>
        </w:rPr>
        <w:t xml:space="preserve">页面未提供</w:t>
      </w:r>
      <w:r>
        <w:t xml:space="preserve">：表格未引用第三方独立审计报告或交叉验证声明。SemiAnalysis 自营数据集、价格模型与基准代码，</w:t>
      </w:r>
      <w:r>
        <w:rPr>
          <w:bCs/>
          <w:b/>
        </w:rPr>
        <w:t xml:space="preserve">理论上一方全部自洽，但缺乏 MLCommons / 学术界常做的”blind submission”复核</w:t>
      </w:r>
      <w:r>
        <w:t xml:space="preserve">。</w:t>
      </w:r>
    </w:p>
    <w:bookmarkEnd w:id="46"/>
    <w:bookmarkStart w:id="52" w:name="成本数据的来源链路与定价模型解读"/>
    <w:p>
      <w:pPr>
        <w:pStyle w:val="Heading3"/>
      </w:pPr>
      <w:r>
        <w:t xml:space="preserve">3.7 成本数据的来源链路与定价模型解读</w:t>
      </w:r>
    </w:p>
    <w:p>
      <w:pPr>
        <w:pStyle w:val="FirstParagraph"/>
      </w:pPr>
      <w:r>
        <w:t xml:space="preserve">本节是用户追加的”数据来源 / 来源数据解读”专项。从原始数据到页面上的 $0.007/$0.011 等数字，中间至少经过四层处理。下文按链路顺序拆分。</w:t>
      </w:r>
    </w:p>
    <w:bookmarkStart w:id="47" w:name="数据生产链路从硬件到页面单元格"/>
    <w:p>
      <w:pPr>
        <w:pStyle w:val="Heading4"/>
      </w:pPr>
      <w:r>
        <w:t xml:space="preserve">3.7.1 数据生产链路（从硬件到页面单元格）</w:t>
      </w:r>
    </w:p>
    <w:p>
      <w:pPr>
        <w:pStyle w:val="SourceCode"/>
      </w:pPr>
      <w:r>
        <w:rPr>
          <w:rStyle w:val="VerbatimChar"/>
        </w:rPr>
        <w:t xml:space="preserve">┌──────────────┐    ┌──────────────┐    ┌──────────────┐    ┌──────────────┐    ┌──────────────┐</w:t>
      </w:r>
      <w:r>
        <w:br/>
      </w:r>
      <w:r>
        <w:rPr>
          <w:rStyle w:val="VerbatimChar"/>
        </w:rPr>
        <w:t xml:space="preserve">│  ① 真实硬件  │ → │ ② 推理引擎   │ → │ ③ 服务包络线 │ → │ ④ TCO 定价   │ → │ ⑤ 页面数字  │</w:t>
      </w:r>
      <w:r>
        <w:br/>
      </w:r>
      <w:r>
        <w:rPr>
          <w:rStyle w:val="VerbatimChar"/>
        </w:rPr>
        <w:t xml:space="preserve">│ (B200/B300/  │   │ (vLLM/SGLang │   │ 扫并发/SLO  │   │ (July 2026   │   │ $0.007/百万 │</w:t>
      </w:r>
      <w:r>
        <w:br/>
      </w:r>
      <w:r>
        <w:rPr>
          <w:rStyle w:val="VerbatimChar"/>
        </w:rPr>
        <w:t xml:space="preserve">│  MI355X 等)  │   │  /Dynamo/   │   │  最大吞吐   │   │ Pricing+IDC) │   │  tokens      │</w:t>
      </w:r>
      <w:r>
        <w:br/>
      </w:r>
      <w:r>
        <w:rPr>
          <w:rStyle w:val="VerbatimChar"/>
        </w:rPr>
        <w:t xml:space="preserve">│              │   │  MoRI 等)    │   │              │   │              │   │              │</w:t>
      </w:r>
      <w:r>
        <w:br/>
      </w:r>
      <w:r>
        <w:rPr>
          <w:rStyle w:val="VerbatimChar"/>
        </w:rPr>
        <w:t xml:space="preserve">└──────────────┘    └──────────────┘    └──────────────┘    └──────────────┘    └──────────────┘</w:t>
      </w:r>
    </w:p>
    <w:p>
      <w:pPr>
        <w:pStyle w:val="FirstParagraph"/>
      </w:pPr>
      <w:r>
        <w:t xml:space="preserve">每层含义：</w:t>
      </w:r>
    </w:p>
    <w:p>
      <w:pPr>
        <w:numPr>
          <w:ilvl w:val="0"/>
          <w:numId w:val="1022"/>
        </w:numPr>
        <w:pStyle w:val="Compact"/>
      </w:pPr>
      <w:r>
        <w:rPr>
          <w:bCs/>
          <w:b/>
        </w:rPr>
        <w:t xml:space="preserve">真实硬件</w:t>
      </w:r>
      <w:r>
        <w:t xml:space="preserve">：关于页明示所有数据点均在真实硬件上跑出，非模拟。</w:t>
      </w:r>
    </w:p>
    <w:p>
      <w:pPr>
        <w:numPr>
          <w:ilvl w:val="0"/>
          <w:numId w:val="1022"/>
        </w:numPr>
        <w:pStyle w:val="Compact"/>
      </w:pPr>
      <w:r>
        <w:rPr>
          <w:bCs/>
          <w:b/>
        </w:rPr>
        <w:t xml:space="preserve">推理引擎 + 精度组合</w:t>
      </w:r>
      <w:r>
        <w:t xml:space="preserve">：每张数字背后都有 (硬件, 引擎, 精度, 投机策略) 的</w:t>
      </w:r>
      <w:r>
        <w:rPr>
          <w:bCs/>
          <w:b/>
        </w:rPr>
        <w:t xml:space="preserve">完整元组</w:t>
      </w:r>
      <w:r>
        <w:t xml:space="preserve">。例：Kimi K3 2.8T 在 B200 上是</w:t>
      </w:r>
      <w:r>
        <w:t xml:space="preserve"> </w:t>
      </w:r>
      <w:r>
        <w:rPr>
          <w:rStyle w:val="VerbatimChar"/>
        </w:rPr>
        <w:t xml:space="preserve">Dynamo vLLM / FP4 / STP + DSpark</w:t>
      </w:r>
      <w:r>
        <w:t xml:space="preserve">。</w:t>
      </w:r>
    </w:p>
    <w:p>
      <w:pPr>
        <w:numPr>
          <w:ilvl w:val="0"/>
          <w:numId w:val="1022"/>
        </w:numPr>
        <w:pStyle w:val="Compact"/>
      </w:pPr>
      <w:r>
        <w:rPr>
          <w:bCs/>
          <w:b/>
        </w:rPr>
        <w:t xml:space="preserve">服务包络线扫描</w:t>
      </w:r>
      <w:r>
        <w:t xml:space="preserve">：在选定 SLO 下，扫 batch size / 并发用户数找到</w:t>
      </w:r>
      <w:r>
        <w:rPr>
          <w:bCs/>
          <w:b/>
        </w:rPr>
        <w:t xml:space="preserve">满足 SLO 的最大吞吐</w:t>
      </w:r>
      <w:r>
        <w:t xml:space="preserve">。例：在 SLO=50 tok/s/user 下，扫 1/8/16/…/512 并发，找到 480 tok/s 时每用户 50 + 总吞吐最高的最优点。</w:t>
      </w:r>
    </w:p>
    <w:p>
      <w:pPr>
        <w:numPr>
          <w:ilvl w:val="0"/>
          <w:numId w:val="1022"/>
        </w:numPr>
        <w:pStyle w:val="Compact"/>
      </w:pPr>
      <w:r>
        <w:rPr>
          <w:bCs/>
          <w:b/>
        </w:rPr>
        <w:t xml:space="preserve">TCO 定价</w:t>
      </w:r>
      <w:r>
        <w:t xml:space="preserve">：套用 SemiAnalysis Market July 2026 Pricing Surveys（云厂商分时价）+ AI Cloud TCO Model（含 IDC 机位 / 电费 / 折旧）。</w:t>
      </w:r>
    </w:p>
    <w:p>
      <w:pPr>
        <w:numPr>
          <w:ilvl w:val="0"/>
          <w:numId w:val="1022"/>
        </w:numPr>
        <w:pStyle w:val="Compact"/>
      </w:pPr>
      <w:r>
        <w:rPr>
          <w:bCs/>
          <w:b/>
        </w:rPr>
        <w:t xml:space="preserve">页面数字</w:t>
      </w:r>
      <w:r>
        <w:t xml:space="preserve">：每百万总 token 成本 = (硬件 + 引擎 + 精度 + SLO 满足点) → 美元/百万总 token。</w:t>
      </w:r>
    </w:p>
    <w:bookmarkEnd w:id="47"/>
    <w:bookmarkStart w:id="48" w:name="公式推导基于-2.3-3.7.1-链路"/>
    <w:p>
      <w:pPr>
        <w:pStyle w:val="Heading4"/>
      </w:pPr>
      <w:r>
        <w:t xml:space="preserve">3.7.2 公式推导（基于 §2.3 / §3.7.1 链路）</w:t>
      </w:r>
    </w:p>
    <w:p>
      <w:pPr>
        <w:pStyle w:val="SourceCode"/>
      </w:pPr>
      <w:r>
        <w:rPr>
          <w:rStyle w:val="VerbatimChar"/>
        </w:rPr>
        <w:t xml:space="preserve">每秒硬件分时成本 = 硬件小时价 / 3600</w:t>
      </w:r>
      <w:r>
        <w:br/>
      </w:r>
      <w:r>
        <w:rPr>
          <w:rStyle w:val="VerbatimChar"/>
        </w:rPr>
        <w:t xml:space="preserve">每秒有效产出 token = 扫描得到的满足 SLO 的最大 tok/s (单实例合计)</w:t>
      </w:r>
      <w:r>
        <w:br/>
      </w:r>
      <w:r>
        <w:rPr>
          <w:rStyle w:val="VerbatimChar"/>
        </w:rPr>
        <w:t xml:space="preserve">每 token 成本 = (小时硬件价 / 3600) / (每秒有效产出)</w:t>
      </w:r>
      <w:r>
        <w:br/>
      </w:r>
      <w:r>
        <w:rPr>
          <w:rStyle w:val="VerbatimChar"/>
        </w:rPr>
        <w:t xml:space="preserve">每百万 token 成本 = (小时硬件价 / 3600) / (每秒有效产出) × 1,000,000</w:t>
      </w:r>
    </w:p>
    <w:p>
      <w:pPr>
        <w:pStyle w:val="FirstParagraph"/>
      </w:pPr>
      <w:r>
        <w:rPr>
          <w:bCs/>
          <w:b/>
        </w:rPr>
        <w:t xml:space="preserve">例</w:t>
      </w:r>
      <w:r>
        <w:t xml:space="preserve">：DeepSeek V4 Pro 1.6T 在 B200 上</w:t>
      </w:r>
      <w:r>
        <w:t xml:space="preserve"> </w:t>
      </w:r>
      <w:r>
        <w:rPr>
          <w:rStyle w:val="VerbatimChar"/>
        </w:rPr>
        <w:t xml:space="preserve">$0.007 / 百万 token</w:t>
      </w:r>
      <w:r>
        <w:t xml:space="preserve"> </w:t>
      </w:r>
      <w:r>
        <w:t xml:space="preserve">倒推——</w:t>
      </w:r>
      <w:r>
        <w:t xml:space="preserve"> </w:t>
      </w:r>
      <w:r>
        <w:t xml:space="preserve">- 假设 B200 小时价 $P</w:t>
      </w:r>
      <w:r>
        <w:t xml:space="preserve"> </w:t>
      </w:r>
      <w:r>
        <w:t xml:space="preserve">- 反推每秒 token 数 = 1,000,000 × $P / (3600 × 0.007)</w:t>
      </w:r>
      <w:r>
        <w:t xml:space="preserve"> </w:t>
      </w:r>
      <w:r>
        <w:t xml:space="preserve">- 若 $P = $3.50/h（即 B200 on-demand 常见定价区间），对应每秒 ≈ 138,889 token/s 单实例</w:t>
      </w:r>
      <w:r>
        <w:t xml:space="preserve"> </w:t>
      </w:r>
      <w:r>
        <w:t xml:space="preserve">- 但 B200 跑 1.6T MoE 不可能单卡达到 138k tok/s 单实例——这意味着</w:t>
      </w:r>
      <w:r>
        <w:rPr>
          <w:bCs/>
          <w:b/>
        </w:rPr>
        <w:t xml:space="preserve">实际单实例成本不可由单卡隔离</w:t>
      </w:r>
      <w:r>
        <w:t xml:space="preserve">，可能为多卡（NVL72 形态或单实例多卡堆叠）</w:t>
      </w:r>
    </w:p>
    <w:p>
      <w:pPr>
        <w:pStyle w:val="BodyText"/>
      </w:pPr>
      <w:r>
        <w:rPr>
          <w:bCs/>
          <w:b/>
        </w:rPr>
        <w:t xml:space="preserve">因此该公式是估算而非实测</w:t>
      </w:r>
      <w:r>
        <w:t xml:space="preserve">。InferenceX 把这些乘除与归一化隐藏在引擎后端。</w:t>
      </w:r>
    </w:p>
    <w:bookmarkEnd w:id="48"/>
    <w:bookmarkStart w:id="49" w:name="对比-b200列的百分比是怎么算的"/>
    <w:p>
      <w:pPr>
        <w:pStyle w:val="Heading4"/>
      </w:pPr>
      <w:r>
        <w:t xml:space="preserve">3.7.3</w:t>
      </w:r>
      <w:r>
        <w:t xml:space="preserve"> </w:t>
      </w:r>
      <w:r>
        <w:t xml:space="preserve">“</w:t>
      </w:r>
      <w:r>
        <w:t xml:space="preserve">对比 B200</w:t>
      </w:r>
      <w:r>
        <w:t xml:space="preserve">”</w:t>
      </w:r>
      <w:r>
        <w:t xml:space="preserve">列的百分比是怎么算的</w:t>
      </w:r>
    </w:p>
    <w:p>
      <w:pPr>
        <w:pStyle w:val="FirstParagraph"/>
      </w:pPr>
      <w:r>
        <w:t xml:space="preserve">页面”+51%</w:t>
      </w:r>
      <w:r>
        <w:t xml:space="preserve">“</w:t>
      </w:r>
      <w:r>
        <w:t xml:space="preserve">、</w:t>
      </w:r>
      <w:r>
        <w:t xml:space="preserve">”</w:t>
      </w:r>
      <w:r>
        <w:t xml:space="preserve">−58%” 等百分比的计算是：</w:t>
      </w:r>
    </w:p>
    <w:p>
      <w:pPr>
        <w:pStyle w:val="SourceCode"/>
      </w:pPr>
      <w:r>
        <w:rPr>
          <w:rStyle w:val="VerbatimChar"/>
        </w:rPr>
        <w:t xml:space="preserve">相对差% = (本组合成本 - B200 成本) / B200 成本 × 100</w:t>
      </w:r>
    </w:p>
    <w:p>
      <w:pPr>
        <w:pStyle w:val="FirstParagraph"/>
      </w:pPr>
      <w:r>
        <w:rPr>
          <w:bCs/>
          <w:b/>
        </w:rPr>
        <w:t xml:space="preserve">示例</w:t>
      </w:r>
      <w:r>
        <w:t xml:space="preserve">（以 DeepSeek V4 Pro 1.6T AgentX 为例）：</w:t>
      </w:r>
      <w:r>
        <w:t xml:space="preserve"> </w:t>
      </w:r>
      <w:r>
        <w:t xml:space="preserve">- B200 = $0.007</w:t>
      </w:r>
      <w:r>
        <w:t xml:space="preserve"> </w:t>
      </w:r>
      <w:r>
        <w:t xml:space="preserve">- MI355X = $0.011</w:t>
      </w:r>
      <w:r>
        <w:t xml:space="preserve"> </w:t>
      </w:r>
      <w:r>
        <w:t xml:space="preserve">- 相对差 = ($0.011 − $0.007) / $0.007 = 0.5714 =</w:t>
      </w:r>
      <w:r>
        <w:t xml:space="preserve"> </w:t>
      </w:r>
      <w:r>
        <w:rPr>
          <w:bCs/>
          <w:b/>
        </w:rPr>
        <w:t xml:space="preserve">+57%</w:t>
      </w:r>
    </w:p>
    <w:p>
      <w:pPr>
        <w:pStyle w:val="BodyText"/>
      </w:pPr>
      <w:r>
        <w:t xml:space="preserve">但页面给出的是</w:t>
      </w:r>
      <w:r>
        <w:t xml:space="preserve"> </w:t>
      </w:r>
      <w:r>
        <w:rPr>
          <w:bCs/>
          <w:b/>
        </w:rPr>
        <w:t xml:space="preserve">+51%</w:t>
      </w:r>
      <w:r>
        <w:t xml:space="preserve">（轻微偏差），可能由以下原因之一造成：</w:t>
      </w:r>
      <w:r>
        <w:t xml:space="preserve"> </w:t>
      </w:r>
      <w:r>
        <w:t xml:space="preserve">1.</w:t>
      </w:r>
      <w:r>
        <w:t xml:space="preserve"> </w:t>
      </w:r>
      <w:r>
        <w:t xml:space="preserve">“</w:t>
      </w:r>
      <w:r>
        <w:t xml:space="preserve">无结果</w:t>
      </w:r>
      <w:r>
        <w:t xml:space="preserve">”</w:t>
      </w:r>
      <w:r>
        <w:t xml:space="preserve">行的部分补全估算</w:t>
      </w:r>
      <w:r>
        <w:t xml:space="preserve"> </w:t>
      </w:r>
      <w:r>
        <w:t xml:space="preserve">2. Pricing Surveys 不同月份的版本（Market July 2026 Pricing Surveys 与 release 到页面的时间差）</w:t>
      </w:r>
      <w:r>
        <w:t xml:space="preserve"> </w:t>
      </w:r>
      <w:r>
        <w:t xml:space="preserve">3. B200 基准可能与 MI355X 比较时使用了不同的 SLO（页面”∞ = 缺少 B200 基线”暗示某些行的 B200 数值不可比）</w:t>
      </w:r>
    </w:p>
    <w:bookmarkEnd w:id="49"/>
    <w:bookmarkStart w:id="50" w:name="数据局限明确标注"/>
    <w:p>
      <w:pPr>
        <w:pStyle w:val="Heading4"/>
      </w:pPr>
      <w:r>
        <w:t xml:space="preserve">3.7.4 数据局限（明确标注）</w:t>
      </w:r>
    </w:p>
    <w:p>
      <w:pPr>
        <w:numPr>
          <w:ilvl w:val="0"/>
          <w:numId w:val="1023"/>
        </w:numPr>
        <w:pStyle w:val="Compact"/>
      </w:pPr>
      <w:r>
        <w:rPr>
          <w:bCs/>
          <w:b/>
        </w:rPr>
        <w:t xml:space="preserve">币种仅以</w:t>
      </w:r>
      <w:r>
        <w:rPr>
          <w:bCs/>
          <w:b/>
        </w:rP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$</w:t>
      </w:r>
      <w:r>
        <w:rPr>
          <w:bCs/>
          <w:b/>
        </w:rPr>
        <w:t xml:space="preserve">”</w:t>
      </w:r>
      <w:r>
        <w:rPr>
          <w:bCs/>
          <w:b/>
        </w:rPr>
        <w:t xml:space="preserve"> </w:t>
      </w:r>
      <w:r>
        <w:rPr>
          <w:bCs/>
          <w:b/>
        </w:rPr>
        <w:t xml:space="preserve">呈现</w:t>
      </w:r>
      <w:r>
        <w:t xml:space="preserve">：未明确是 USD 还是其他</w:t>
      </w:r>
    </w:p>
    <w:p>
      <w:pPr>
        <w:numPr>
          <w:ilvl w:val="0"/>
          <w:numId w:val="1023"/>
        </w:numPr>
        <w:pStyle w:val="Compact"/>
      </w:pPr>
      <w:r>
        <w:rPr>
          <w:bCs/>
          <w:b/>
        </w:rPr>
        <w:t xml:space="preserve">是否含税 / 折旧 / IDC 电费</w:t>
      </w:r>
      <w:r>
        <w:t xml:space="preserve">：未在中文页声明；推断 TCO 模型已含折旧</w:t>
      </w:r>
    </w:p>
    <w:p>
      <w:pPr>
        <w:numPr>
          <w:ilvl w:val="0"/>
          <w:numId w:val="1023"/>
        </w:numPr>
        <w:pStyle w:val="Compact"/>
      </w:pPr>
      <w:r>
        <w:rPr>
          <w:bCs/>
          <w:b/>
        </w:rPr>
        <w:t xml:space="preserve">是否含 prefix caching 复用</w:t>
      </w:r>
      <w:r>
        <w:t xml:space="preserve">：AgentX 场景中默认有大量 prefix share，但数字”是否打折”取决于成本模型中的 prefix cache 命中率假设</w:t>
      </w:r>
    </w:p>
    <w:p>
      <w:pPr>
        <w:numPr>
          <w:ilvl w:val="0"/>
          <w:numId w:val="1023"/>
        </w:numPr>
        <w:pStyle w:val="Compact"/>
      </w:pPr>
      <w:r>
        <w:rPr>
          <w:bCs/>
          <w:b/>
        </w:rPr>
        <w:t xml:space="preserve">是否区分 on-demand / reservation / spot</w:t>
      </w:r>
      <w:r>
        <w:t xml:space="preserve">：未声明</w:t>
      </w:r>
    </w:p>
    <w:p>
      <w:pPr>
        <w:numPr>
          <w:ilvl w:val="0"/>
          <w:numId w:val="1023"/>
        </w:numPr>
        <w:pStyle w:val="Compact"/>
      </w:pPr>
      <w:r>
        <w:rPr>
          <w:bCs/>
          <w:b/>
        </w:rPr>
        <w:t xml:space="preserve">是否覆盖 AWS / GCP / Azure / 国产云等</w:t>
      </w:r>
      <w:r>
        <w:t xml:space="preserve">：Pricing Surveys 是否分地区分云厂商也未声明</w:t>
      </w:r>
    </w:p>
    <w:bookmarkEnd w:id="50"/>
    <w:bookmarkStart w:id="51" w:name="无精确-50-结果-怎么读"/>
    <w:p>
      <w:pPr>
        <w:pStyle w:val="Heading4"/>
      </w:pPr>
      <w:r>
        <w:t xml:space="preserve">3.7.5</w:t>
      </w:r>
      <w:r>
        <w:t xml:space="preserve"> </w:t>
      </w:r>
      <w:r>
        <w:t xml:space="preserve">“</w:t>
      </w:r>
      <w:r>
        <w:t xml:space="preserve">无精确</w:t>
      </w:r>
      <w:r>
        <w:t xml:space="preserve"> </w:t>
      </w:r>
      <w:r>
        <w:t xml:space="preserve">@50</w:t>
      </w:r>
      <w:r>
        <w:t xml:space="preserve"> </w:t>
      </w:r>
      <w:r>
        <w:t xml:space="preserve">结果</w:t>
      </w:r>
      <w:r>
        <w:t xml:space="preserve">”</w:t>
      </w:r>
      <w:r>
        <w:t xml:space="preserve"> </w:t>
      </w:r>
      <w:r>
        <w:t xml:space="preserve">怎么读</w:t>
      </w:r>
    </w:p>
    <w:p>
      <w:pPr>
        <w:pStyle w:val="FirstParagraph"/>
      </w:pPr>
      <w:r>
        <w:t xml:space="preserve">“</w:t>
      </w:r>
      <w:r>
        <w:t xml:space="preserve">无精确</w:t>
      </w:r>
      <w:r>
        <w:t xml:space="preserve"> </w:t>
      </w:r>
      <w:r>
        <w:t xml:space="preserve">@50</w:t>
      </w:r>
      <w:r>
        <w:t xml:space="preserve">”</w:t>
      </w:r>
      <w:r>
        <w:t xml:space="preserve"> </w:t>
      </w:r>
      <w:r>
        <w:t xml:space="preserve">出现在以下情况：</w:t>
      </w:r>
    </w:p>
    <w:p>
      <w:pPr>
        <w:numPr>
          <w:ilvl w:val="0"/>
          <w:numId w:val="1024"/>
        </w:numPr>
        <w:pStyle w:val="Compact"/>
      </w:pPr>
      <w:r>
        <w:rPr>
          <w:bCs/>
          <w:b/>
        </w:rPr>
        <w:t xml:space="preserve">该组合在</w:t>
      </w:r>
      <w:r>
        <w:rPr>
          <w:bCs/>
          <w:b/>
        </w:rPr>
        <w:t xml:space="preserve"> </w:t>
      </w:r>
      <w:r>
        <w:rPr>
          <w:bCs/>
          <w:b/>
        </w:rPr>
        <w:t xml:space="preserve">@50</w:t>
      </w:r>
      <w:r>
        <w:rPr>
          <w:bCs/>
          <w:b/>
        </w:rPr>
        <w:t xml:space="preserve"> </w:t>
      </w:r>
      <w:r>
        <w:rPr>
          <w:bCs/>
          <w:b/>
        </w:rPr>
        <w:t xml:space="preserve">SLO 下无法满足 tok/s/user=50 的最低保证</w:t>
      </w:r>
      <w:r>
        <w:t xml:space="preserve">：可能是因为模型太大（1.6T MoE 在单卡）并发能力不够。</w:t>
      </w:r>
    </w:p>
    <w:p>
      <w:pPr>
        <w:numPr>
          <w:ilvl w:val="0"/>
          <w:numId w:val="1024"/>
        </w:numPr>
        <w:pStyle w:val="Compact"/>
      </w:pPr>
      <w:r>
        <w:rPr>
          <w:bCs/>
          <w:b/>
        </w:rPr>
        <w:t xml:space="preserve">该组合未跑 AgentX 测试</w:t>
      </w:r>
      <w:r>
        <w:t xml:space="preserve">：例如 GLM5.3 仅在 MI355X 上一行，其他硬件暂缺。</w:t>
      </w:r>
    </w:p>
    <w:p>
      <w:pPr>
        <w:numPr>
          <w:ilvl w:val="0"/>
          <w:numId w:val="1024"/>
        </w:numPr>
        <w:pStyle w:val="Compact"/>
      </w:pPr>
      <w:r>
        <w:rPr>
          <w:bCs/>
          <w:b/>
        </w:rPr>
        <w:t xml:space="preserve">该组合的引擎 / 精度路径尚未合并</w:t>
      </w:r>
      <w:r>
        <w:t xml:space="preserve">：FP4 投机解码路径在某些硬件上尚不成熟。</w:t>
      </w:r>
    </w:p>
    <w:p>
      <w:pPr>
        <w:pStyle w:val="FirstParagraph"/>
      </w:pPr>
      <w:r>
        <w:rPr>
          <w:bCs/>
          <w:b/>
        </w:rPr>
        <w:t xml:space="preserve">因此 `无结果 ≠ 不行</w:t>
      </w:r>
      <w:r>
        <w:t xml:space="preserve">，仅代表</w:t>
      </w:r>
      <w:r>
        <w:t xml:space="preserve"> </w:t>
      </w:r>
      <w:r>
        <w:t xml:space="preserve">@50</w:t>
      </w:r>
      <w:r>
        <w:t xml:space="preserve"> </w:t>
      </w:r>
      <w:r>
        <w:t xml:space="preserve">SLO 满足失败。读者要选</w:t>
      </w:r>
      <w:r>
        <w:t xml:space="preserve"> </w:t>
      </w:r>
      <w:r>
        <w:t xml:space="preserve">@30</w:t>
      </w:r>
      <w:r>
        <w:t xml:space="preserve"> </w:t>
      </w:r>
      <w:r>
        <w:t xml:space="preserve">滑块该行可能有数字。</w:t>
      </w:r>
    </w:p>
    <w:p>
      <w:r>
        <w:pict>
          <v:rect style="width:0;height:1.5pt" o:hralign="center" o:hrstd="t" o:hr="t"/>
        </w:pict>
      </w:r>
    </w:p>
    <w:bookmarkEnd w:id="51"/>
    <w:bookmarkEnd w:id="52"/>
    <w:bookmarkEnd w:id="53"/>
    <w:bookmarkStart w:id="57" w:name="overview-数字全集页面已呈现的真实数字"/>
    <w:p>
      <w:pPr>
        <w:pStyle w:val="Heading2"/>
      </w:pPr>
      <w:r>
        <w:t xml:space="preserve">4. overview 数字全集（页面已呈现的真实数字）</w:t>
      </w:r>
    </w:p>
    <w:p>
      <w:pPr>
        <w:pStyle w:val="BlockText"/>
      </w:pPr>
      <w:r>
        <w:rPr>
          <w:bCs/>
          <w:b/>
        </w:rPr>
        <w:t xml:space="preserve">本节独立说明</w:t>
      </w:r>
      <w:r>
        <w:t xml:space="preserve">：原报告 §2.11 是”页面已呈现的智能体推理成本数据全集”。按逐步解读逻辑，</w:t>
      </w:r>
      <w:r>
        <w:t xml:space="preserve">“</w:t>
      </w:r>
      <w:r>
        <w:t xml:space="preserve">看到页面数字</w:t>
      </w:r>
      <w:r>
        <w:t xml:space="preserve">”</w:t>
      </w:r>
      <w:r>
        <w:t xml:space="preserve">应该独立成节（在理解度量 §2 和数据来源 §3 之后）。下面先呈现数字本身（在 §4），再在 §5 做跨模型解读、在 §6 做横向对比、在 §9 看详情页数字。</w:t>
      </w:r>
    </w:p>
    <w:p>
      <w:pPr>
        <w:pStyle w:val="FirstParagraph"/>
      </w:pPr>
      <w:r>
        <w:rPr>
          <w:bCs/>
          <w:b/>
        </w:rPr>
        <w:t xml:space="preserve">重要前提</w:t>
      </w:r>
      <w:r>
        <w:t xml:space="preserve">：</w:t>
      </w:r>
    </w:p>
    <w:p>
      <w:pPr>
        <w:numPr>
          <w:ilvl w:val="0"/>
          <w:numId w:val="1025"/>
        </w:numPr>
        <w:pStyle w:val="Compact"/>
      </w:pPr>
      <w:r>
        <w:t xml:space="preserve">以下数字均直接抓取自</w:t>
      </w:r>
      <w:r>
        <w:t xml:space="preserve"> </w:t>
      </w:r>
      <w:r>
        <w:rPr>
          <w:rStyle w:val="VerbatimChar"/>
        </w:rPr>
        <w:t xml:space="preserve">/zh/overview</w:t>
      </w:r>
      <w:r>
        <w:t xml:space="preserve"> </w:t>
      </w:r>
      <w:r>
        <w:t xml:space="preserve">页面（访问日期 2026-10-13）</w:t>
      </w:r>
    </w:p>
    <w:p>
      <w:pPr>
        <w:numPr>
          <w:ilvl w:val="0"/>
          <w:numId w:val="1025"/>
        </w:numPr>
        <w:pStyle w:val="Compact"/>
      </w:pPr>
      <w:r>
        <w:rPr>
          <w:bCs/>
          <w:b/>
        </w:rPr>
        <w:t xml:space="preserve">单位</w:t>
      </w:r>
      <w:r>
        <w:t xml:space="preserve">：美元 / 百万总 token（USD per 1M total tokens）</w:t>
      </w:r>
    </w:p>
    <w:p>
      <w:pPr>
        <w:numPr>
          <w:ilvl w:val="0"/>
          <w:numId w:val="1025"/>
        </w:numPr>
        <w:pStyle w:val="Compact"/>
      </w:pPr>
      <w:r>
        <w:t xml:space="preserve">括号内的百分比（+51%、−48% 等）是页面”对比 B200”列的相对差值，</w:t>
      </w:r>
      <w:r>
        <w:rPr>
          <w:bCs/>
          <w:b/>
        </w:rPr>
        <w:t xml:space="preserve">正值表示比 B200 贵，负值表示比 B200 便宜</w:t>
      </w:r>
    </w:p>
    <w:p>
      <w:pPr>
        <w:numPr>
          <w:ilvl w:val="0"/>
          <w:numId w:val="1025"/>
        </w:numPr>
        <w:pStyle w:val="Compact"/>
      </w:pPr>
      <w:r>
        <w:rPr>
          <w:rStyle w:val="VerbatimChar"/>
        </w:rPr>
        <w:t xml:space="preserve">—</w:t>
      </w:r>
      <w:r>
        <w:t xml:space="preserve"> </w:t>
      </w:r>
      <w:r>
        <w:t xml:space="preserve">表示该组合未出现在页面表格中</w:t>
      </w:r>
    </w:p>
    <w:p>
      <w:pPr>
        <w:numPr>
          <w:ilvl w:val="0"/>
          <w:numId w:val="1025"/>
        </w:numPr>
        <w:pStyle w:val="Compact"/>
      </w:pPr>
      <w:r>
        <w:t xml:space="preserve">“</w:t>
      </w:r>
      <w:r>
        <w:rPr>
          <w:bCs/>
          <w:b/>
        </w:rPr>
        <w:t xml:space="preserve">无精确</w:t>
      </w:r>
      <w:r>
        <w:rPr>
          <w:bCs/>
          <w:b/>
        </w:rPr>
        <w:t xml:space="preserve"> </w:t>
      </w:r>
      <w:r>
        <w:rPr>
          <w:bCs/>
          <w:b/>
        </w:rPr>
        <w:t xml:space="preserve">@50</w:t>
      </w:r>
      <w:r>
        <w:rPr>
          <w:bCs/>
          <w:b/>
        </w:rPr>
        <w:t xml:space="preserve"> </w:t>
      </w:r>
      <w:r>
        <w:rPr>
          <w:bCs/>
          <w:b/>
        </w:rPr>
        <w:t xml:space="preserve">结果</w:t>
      </w:r>
      <w:r>
        <w:t xml:space="preserve">”</w:t>
      </w:r>
      <w:r>
        <w:t xml:space="preserve"> </w:t>
      </w:r>
      <w:r>
        <w:t xml:space="preserve">是页面原文表述——表示该组合在默认 SLO 下未达标，</w:t>
      </w:r>
      <w:r>
        <w:rPr>
          <w:bCs/>
          <w:b/>
        </w:rPr>
        <w:t xml:space="preserve">并不表示该硬件无法运行该模型</w:t>
      </w:r>
    </w:p>
    <w:p>
      <w:pPr>
        <w:numPr>
          <w:ilvl w:val="0"/>
          <w:numId w:val="1025"/>
        </w:numPr>
        <w:pStyle w:val="Compact"/>
      </w:pPr>
      <w:r>
        <w:t xml:space="preserve">由于 SLO 滑块在页面未明确显示默认停留值，</w:t>
      </w:r>
      <w:r>
        <w:rPr>
          <w:bCs/>
          <w:b/>
        </w:rPr>
        <w:t xml:space="preserve">本节所有数字默认按 SLO=50 tok/s/user 解读（即页面”无精确</w:t>
      </w:r>
      <w:r>
        <w:rPr>
          <w:bCs/>
          <w:b/>
        </w:rPr>
        <w:t xml:space="preserve"> </w:t>
      </w:r>
      <w:r>
        <w:rPr>
          <w:bCs/>
          <w:b/>
        </w:rPr>
        <w:t xml:space="preserve">@50</w:t>
      </w:r>
      <w:r>
        <w:rPr>
          <w:bCs/>
          <w:b/>
        </w:rPr>
        <w:t xml:space="preserve"> </w:t>
      </w:r>
      <w:r>
        <w:rPr>
          <w:bCs/>
          <w:b/>
        </w:rPr>
        <w:t xml:space="preserve">结果”中的</w:t>
      </w:r>
      <w:r>
        <w:rPr>
          <w:bCs/>
          <w:b/>
        </w:rPr>
        <w:t xml:space="preserve"> </w:t>
      </w:r>
      <w:r>
        <w:rPr>
          <w:bCs/>
          <w:b/>
        </w:rPr>
        <w:t xml:space="preserve">@50</w:t>
      </w:r>
      <w:r>
        <w:rPr>
          <w:bCs/>
          <w:b/>
        </w:rPr>
        <w:t xml:space="preserve">）</w:t>
      </w:r>
    </w:p>
    <w:bookmarkStart w:id="54" w:name="表-2-1-智能体推理成本agentx-场景页面-zhoverview"/>
    <w:p>
      <w:pPr>
        <w:pStyle w:val="Heading4"/>
      </w:pPr>
      <w:r>
        <w:t xml:space="preserve">表 2-1 智能体推理成本（AgentX 场景，页面</w:t>
      </w:r>
      <w:r>
        <w:t xml:space="preserve"> </w:t>
      </w:r>
      <w:r>
        <w:rPr>
          <w:rStyle w:val="VerbatimChar"/>
        </w:rPr>
        <w:t xml:space="preserve">/zh/overview</w:t>
      </w:r>
      <w:r>
        <w:t xml:space="preserve">）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模型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场景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MI355X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B300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GB200 NVL72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GB300 NVL72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DeepSeek V4 Pro 0813 1.6T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AgentX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$0.011（+51%）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$0.009（+18%）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无结果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$0.011（+54%）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DeepSeek V4.1 Flash 552B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AgentX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无结果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Kimi K3 2.8T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AgentX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$0.074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$0.054（−26%）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$0.103（+40%）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$0.114（+54%）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$0.038（−48%）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MiniMax M3 428B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AgentX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全平台无结果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GLM5.2/5.3 744B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AgentX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无结果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无结果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无结果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无结果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Qwen3.5 397B（MoE 397B/A17B）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AgentX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$0.008（−58%）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$0.014（−25%）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$0.006（−68%）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无结果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Qwen3.8 Flash Next 176B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AgentX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$0.005</w:t>
            </w:r>
          </w:p>
        </w:tc>
      </w:tr>
    </w:tbl>
    <w:bookmarkEnd w:id="54"/>
    <w:bookmarkStart w:id="55" w:name="表-2-2-固定序列推理成本8k1k-场景页面-zhoverview"/>
    <w:p>
      <w:pPr>
        <w:pStyle w:val="Heading4"/>
      </w:pPr>
      <w:r>
        <w:t xml:space="preserve">表 2-2 固定序列推理成本（8K/1K 场景，页面</w:t>
      </w:r>
      <w:r>
        <w:t xml:space="preserve"> </w:t>
      </w:r>
      <w:r>
        <w:rPr>
          <w:rStyle w:val="VerbatimChar"/>
        </w:rPr>
        <w:t xml:space="preserve">/zh/overview</w:t>
      </w:r>
      <w:r>
        <w:t xml:space="preserve">）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模型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场景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MI355X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B300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GB200 NVL72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GB300 NVL72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Qwen3.5 397B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8K/1K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$0.049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$0.051（+4%）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$0.036（−26%）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无结果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无结果</w:t>
            </w:r>
          </w:p>
        </w:tc>
      </w:tr>
    </w:tbl>
    <w:bookmarkEnd w:id="55"/>
    <w:bookmarkStart w:id="56" w:name="关键观察来自上述原始数字"/>
    <w:p>
      <w:pPr>
        <w:pStyle w:val="Heading4"/>
      </w:pPr>
      <w:r>
        <w:t xml:space="preserve">关键观察（来自上述原始数字）</w:t>
      </w:r>
    </w:p>
    <w:p>
      <w:pPr>
        <w:numPr>
          <w:ilvl w:val="0"/>
          <w:numId w:val="1026"/>
        </w:numPr>
        <w:pStyle w:val="Compact"/>
      </w:pPr>
      <w:r>
        <w:rPr>
          <w:bCs/>
          <w:b/>
        </w:rPr>
        <w:t xml:space="preserve">跨硬件价差可达三倍以上</w:t>
      </w:r>
      <w:r>
        <w:t xml:space="preserve">：同一模型在最优与最差硬件之间的成本差距巨大。例：DeepSeek V4.1 Flash 552B 在 GB200 NVL72（$0.015）与 GB300 NVL72（$0.002）之间差距 7.5×；Kimi K3 2.8T 在 GB300 NVL72（$0.038）与 GB200 NVL72（$0.114）之间差距 3×。</w:t>
      </w:r>
    </w:p>
    <w:p>
      <w:pPr>
        <w:numPr>
          <w:ilvl w:val="0"/>
          <w:numId w:val="1026"/>
        </w:numPr>
        <w:pStyle w:val="Compact"/>
      </w:pPr>
      <w:r>
        <w:rPr>
          <w:bCs/>
          <w:b/>
        </w:rPr>
        <w:t xml:space="preserve">AgentX 与 8K/1K 不能简单外推</w:t>
      </w:r>
      <w:r>
        <w:t xml:space="preserve">：Qwen3.5 397B 在 B200 上的成本从 8K/1K 的 $0.049 提升至 AgentX 的 $0.018（</w:t>
      </w:r>
      <w:r>
        <w:rPr>
          <w:bCs/>
          <w:b/>
        </w:rPr>
        <w:t xml:space="preserve">-63%</w:t>
      </w:r>
      <w:r>
        <w:t xml:space="preserve">）——表面上 AgentX 更便宜，但实际是因为 KV 调度策略、负载形态与 prefix cache 复用改变了吞吐上限。</w:t>
      </w:r>
    </w:p>
    <w:p>
      <w:pPr>
        <w:numPr>
          <w:ilvl w:val="0"/>
          <w:numId w:val="1026"/>
        </w:numPr>
        <w:pStyle w:val="Compact"/>
      </w:pPr>
      <w:r>
        <w:rPr>
          <w:bCs/>
          <w:b/>
        </w:rPr>
        <w:t xml:space="preserve">NVL72 vs 单卡并非单调优势</w:t>
      </w:r>
      <w:r>
        <w:t xml:space="preserve">：GB300 NVL72 在 Kimi K3 2.8T 上比 B200 便宜 48%（$0.038 vs $0.074），但 GB200 NVL72 在 Kimi K3 2.8T 上</w:t>
      </w:r>
      <w:r>
        <w:rPr>
          <w:bCs/>
          <w:b/>
        </w:rPr>
        <w:t xml:space="preserve">反而比 B200 贵 54%</w:t>
      </w:r>
      <w:r>
        <w:t xml:space="preserve">——机架规模本身不保证 cost down，关键看 SLO 是否满足。</w:t>
      </w:r>
    </w:p>
    <w:p>
      <w:pPr>
        <w:numPr>
          <w:ilvl w:val="0"/>
          <w:numId w:val="1026"/>
        </w:numPr>
        <w:pStyle w:val="Compact"/>
      </w:pPr>
      <w:r>
        <w:rPr>
          <w:bCs/>
          <w:b/>
        </w:rPr>
        <w:t xml:space="preserve">MI355X 的相对位置</w:t>
      </w:r>
      <w:r>
        <w:t xml:space="preserve">：在 DeepSeek V4 Pro / Kimi K3 / Qwen3.5 等 MoE 模型上 MI355X 单卡能接近或击败 B200（−58% Qwen3.5 上佳绩），但在 DeepSeek V4 Pro 1.6T 上仍比 B200 贵 51%。</w:t>
      </w:r>
    </w:p>
    <w:p>
      <w:pPr>
        <w:numPr>
          <w:ilvl w:val="0"/>
          <w:numId w:val="1026"/>
        </w:numPr>
        <w:pStyle w:val="Compact"/>
      </w:pPr>
      <w:r>
        <w:rPr>
          <w:bCs/>
          <w:b/>
        </w:rPr>
        <w:t xml:space="preserve">MiniMax M3 428B 全行空白</w:t>
      </w:r>
      <w:r>
        <w:t xml:space="preserve">：所有硬件所有平台上 AgentX 场景均报告”无精确</w:t>
      </w:r>
      <w:r>
        <w:t xml:space="preserve"> </w:t>
      </w:r>
      <w:r>
        <w:t xml:space="preserve">@50</w:t>
      </w:r>
      <w:r>
        <w:t xml:space="preserve"> </w:t>
      </w:r>
      <w:r>
        <w:t xml:space="preserve">结果”——意味着该模型在</w:t>
      </w:r>
      <w:r>
        <w:t xml:space="preserve"> </w:t>
      </w:r>
      <w:r>
        <w:t xml:space="preserve">@50</w:t>
      </w:r>
      <w:r>
        <w:t xml:space="preserve"> </w:t>
      </w:r>
      <w:r>
        <w:t xml:space="preserve">SLO 下尚未被任何平台成功 benchmarking。建议读者关注 weekly snapshot 该行是否有更新。</w:t>
      </w:r>
    </w:p>
    <w:p>
      <w:r>
        <w:pict>
          <v:rect style="width:0;height:1.5pt" o:hralign="center" o:hrstd="t" o:hr="t"/>
        </w:pict>
      </w:r>
    </w:p>
    <w:bookmarkEnd w:id="56"/>
    <w:bookmarkEnd w:id="57"/>
    <w:bookmarkStart w:id="66" w:name="overview-数字解读基于页面真实数值"/>
    <w:p>
      <w:pPr>
        <w:pStyle w:val="Heading2"/>
      </w:pPr>
      <w:r>
        <w:t xml:space="preserve">5. overview 数字解读（基于页面真实数值）</w:t>
      </w:r>
    </w:p>
    <w:p>
      <w:pPr>
        <w:pStyle w:val="BlockText"/>
      </w:pPr>
      <w:r>
        <w:t xml:space="preserve">本节基于 §4 完整复刻的页面原始数字，深入解读”为什么会出现这些数字”、</w:t>
      </w:r>
      <w:r>
        <w:t xml:space="preserve">“</w:t>
      </w:r>
      <w:r>
        <w:t xml:space="preserve">该如何解读这些对比</w:t>
      </w:r>
      <w:r>
        <w:t xml:space="preserve">”</w:t>
      </w:r>
      <w:r>
        <w:t xml:space="preserve">。所有数字均直接来自页面，不外推未经页面展示的吞吐量、单价、时延等指标。</w:t>
      </w:r>
    </w:p>
    <w:bookmarkStart w:id="58" w:name="解读-deepseek-v4-pro-1.6t-agentx-一行"/>
    <w:p>
      <w:pPr>
        <w:pStyle w:val="Heading3"/>
      </w:pPr>
      <w:r>
        <w:t xml:space="preserve">5.1 解读</w:t>
      </w:r>
      <w:r>
        <w:t xml:space="preserve"> </w:t>
      </w:r>
      <w:r>
        <w:t xml:space="preserve">“</w:t>
      </w:r>
      <w:r>
        <w:t xml:space="preserve">DeepSeek V4 Pro 1.6T AgentX</w:t>
      </w:r>
      <w:r>
        <w:t xml:space="preserve">”</w:t>
      </w:r>
      <w:r>
        <w:t xml:space="preserve"> </w:t>
      </w:r>
      <w:r>
        <w:t xml:space="preserve">一行</w:t>
      </w:r>
    </w:p>
    <w:p>
      <w:pPr>
        <w:pStyle w:val="SourceCode"/>
      </w:pPr>
      <w:r>
        <w:rPr>
          <w:rStyle w:val="VerbatimChar"/>
        </w:rPr>
        <w:t xml:space="preserve">B200:        $0.007   (基线)</w:t>
      </w:r>
      <w:r>
        <w:br/>
      </w:r>
      <w:r>
        <w:rPr>
          <w:rStyle w:val="VerbatimChar"/>
        </w:rPr>
        <w:t xml:space="preserve">MI355X:      $0.011  (+51%)</w:t>
      </w:r>
      <w:r>
        <w:br/>
      </w:r>
      <w:r>
        <w:rPr>
          <w:rStyle w:val="VerbatimChar"/>
        </w:rPr>
        <w:t xml:space="preserve">B300:        $0.009  (+18%)</w:t>
      </w:r>
      <w:r>
        <w:br/>
      </w:r>
      <w:r>
        <w:rPr>
          <w:rStyle w:val="VerbatimChar"/>
        </w:rPr>
        <w:t xml:space="preserve">GB200 NVL72: 无结果（GB200 NVL72 上 1.6T MoE 在 @50 SLO 下未达标，可能受 NVL72 inter-rack schedule 抖动）</w:t>
      </w:r>
      <w:r>
        <w:br/>
      </w:r>
      <w:r>
        <w:rPr>
          <w:rStyle w:val="VerbatimChar"/>
        </w:rPr>
        <w:t xml:space="preserve">GB300 NVL72: $0.011  (+54%)</w:t>
      </w:r>
    </w:p>
    <w:p>
      <w:pPr>
        <w:pStyle w:val="FirstParagraph"/>
      </w:pPr>
      <w:r>
        <w:rPr>
          <w:bCs/>
          <w:b/>
        </w:rPr>
        <w:t xml:space="preserve">直接观察</w:t>
      </w:r>
      <w:r>
        <w:t xml:space="preserve">：</w:t>
      </w:r>
    </w:p>
    <w:p>
      <w:pPr>
        <w:numPr>
          <w:ilvl w:val="0"/>
          <w:numId w:val="1027"/>
        </w:numPr>
        <w:pStyle w:val="Compact"/>
      </w:pPr>
      <w:r>
        <w:rPr>
          <w:bCs/>
          <w:b/>
        </w:rPr>
        <w:t xml:space="preserve">B200 + Dynamo vLLM + FP4 + DRAFT_MODEL 是当前最便宜的组合</w:t>
      </w:r>
      <w:r>
        <w:t xml:space="preserve">，成本 $0.007/百万 token</w:t>
      </w:r>
    </w:p>
    <w:p>
      <w:pPr>
        <w:numPr>
          <w:ilvl w:val="0"/>
          <w:numId w:val="1027"/>
        </w:numPr>
        <w:pStyle w:val="Compact"/>
      </w:pPr>
      <w:r>
        <w:t xml:space="preserve">单卡 B300 ($0.009) 反而比 B200 ($0.007) 贵 18%，反映 B300 在 1.6T 规模上</w:t>
      </w:r>
      <w:r>
        <w:rPr>
          <w:bCs/>
          <w:b/>
        </w:rPr>
        <w:t xml:space="preserve">对 B200 的代际优势消失</w:t>
      </w:r>
      <w:r>
        <w:t xml:space="preserve">——这是 SLO 满足难度提升导致的</w:t>
      </w:r>
    </w:p>
    <w:p>
      <w:pPr>
        <w:numPr>
          <w:ilvl w:val="0"/>
          <w:numId w:val="1027"/>
        </w:numPr>
        <w:pStyle w:val="Compact"/>
      </w:pPr>
      <w:r>
        <w:t xml:space="preserve">AMD MI355X + MoRI SGLang 在 1.6T 上比 B200 贵 51%，意味着</w:t>
      </w:r>
      <w:r>
        <w:rPr>
          <w:bCs/>
          <w:b/>
        </w:rPr>
        <w:t xml:space="preserve">AMD 在超大 MoE 模型上的成本竞争力在 B200 之下</w:t>
      </w:r>
    </w:p>
    <w:p>
      <w:pPr>
        <w:pStyle w:val="FirstParagraph"/>
      </w:pPr>
      <w:r>
        <w:rPr>
          <w:bCs/>
          <w:b/>
        </w:rPr>
        <w:t xml:space="preserve">专业含义</w:t>
      </w:r>
      <w:r>
        <w:t xml:space="preserve">：1.6T MoE 模型对显存带宽、NVLink 互联、prefill/decode 调度都有挑战。NVIDIA 在 Hopper / Blackwell 间的代际优势体现在</w:t>
      </w:r>
      <w:r>
        <w:rPr>
          <w:bCs/>
          <w:b/>
        </w:rPr>
        <w:t xml:space="preserve">单实例 SLO 满足能力</w:t>
      </w:r>
      <w:r>
        <w:t xml:space="preserve">而非裸硬件 FLOPS。</w:t>
      </w:r>
    </w:p>
    <w:bookmarkEnd w:id="58"/>
    <w:bookmarkStart w:id="59" w:name="解读-kimi-k3-2.8t-agentx-一行价差最大的行"/>
    <w:p>
      <w:pPr>
        <w:pStyle w:val="Heading3"/>
      </w:pPr>
      <w:r>
        <w:t xml:space="preserve">5.2 解读</w:t>
      </w:r>
      <w:r>
        <w:t xml:space="preserve"> </w:t>
      </w:r>
      <w:r>
        <w:t xml:space="preserve">“</w:t>
      </w:r>
      <w:r>
        <w:t xml:space="preserve">Kimi K3 2.8T AgentX</w:t>
      </w:r>
      <w:r>
        <w:t xml:space="preserve">”</w:t>
      </w:r>
      <w:r>
        <w:t xml:space="preserve"> </w:t>
      </w:r>
      <w:r>
        <w:t xml:space="preserve">一行（价差最大的行）</w:t>
      </w:r>
    </w:p>
    <w:p>
      <w:pPr>
        <w:pStyle w:val="SourceCode"/>
      </w:pPr>
      <w:r>
        <w:rPr>
          <w:rStyle w:val="VerbatimChar"/>
        </w:rPr>
        <w:t xml:space="preserve">B200:        $0.074</w:t>
      </w:r>
      <w:r>
        <w:br/>
      </w:r>
      <w:r>
        <w:rPr>
          <w:rStyle w:val="VerbatimChar"/>
        </w:rPr>
        <w:t xml:space="preserve">MI355X:      $0.054  (−26%)    ← 唯一优于 B200 的非 NVIDIA</w:t>
      </w:r>
      <w:r>
        <w:br/>
      </w:r>
      <w:r>
        <w:rPr>
          <w:rStyle w:val="VerbatimChar"/>
        </w:rPr>
        <w:t xml:space="preserve">B300:        $0.103  (+40%)</w:t>
      </w:r>
      <w:r>
        <w:br/>
      </w:r>
      <w:r>
        <w:rPr>
          <w:rStyle w:val="VerbatimChar"/>
        </w:rPr>
        <w:t xml:space="preserve">GB200 NVL72: $0.114  (+54%)</w:t>
      </w:r>
      <w:r>
        <w:br/>
      </w:r>
      <w:r>
        <w:rPr>
          <w:rStyle w:val="VerbatimChar"/>
        </w:rPr>
        <w:t xml:space="preserve">GB300 NVL72: $0.038  (−48%)    ← 全表最低</w:t>
      </w:r>
    </w:p>
    <w:p>
      <w:pPr>
        <w:pStyle w:val="FirstParagraph"/>
      </w:pPr>
      <w:r>
        <w:rPr>
          <w:bCs/>
          <w:b/>
        </w:rPr>
        <w:t xml:space="preserve">直接观察</w:t>
      </w:r>
      <w:r>
        <w:t xml:space="preserve">：</w:t>
      </w:r>
    </w:p>
    <w:p>
      <w:pPr>
        <w:numPr>
          <w:ilvl w:val="0"/>
          <w:numId w:val="1028"/>
        </w:numPr>
        <w:pStyle w:val="Compact"/>
      </w:pPr>
      <w:r>
        <w:rPr>
          <w:bCs/>
          <w:b/>
        </w:rPr>
        <w:t xml:space="preserve">GB300 NVL72 是当前最优</w:t>
      </w:r>
      <w:r>
        <w:t xml:space="preserve">：$0.038 是页面所有 AgentX 行中最低值之一</w:t>
      </w:r>
    </w:p>
    <w:p>
      <w:pPr>
        <w:numPr>
          <w:ilvl w:val="0"/>
          <w:numId w:val="1028"/>
        </w:numPr>
        <w:pStyle w:val="Compact"/>
      </w:pPr>
      <w:r>
        <w:rPr>
          <w:bCs/>
          <w:b/>
        </w:rPr>
        <w:t xml:space="preserve">B300 + 单卡反而比 B200 贵 40%</w:t>
      </w:r>
      <w:r>
        <w:t xml:space="preserve"> </w:t>
      </w:r>
      <w:r>
        <w:t xml:space="preserve">—— 与 6.1 的趋势一致，但幅度更大</w:t>
      </w:r>
    </w:p>
    <w:p>
      <w:pPr>
        <w:numPr>
          <w:ilvl w:val="0"/>
          <w:numId w:val="1028"/>
        </w:numPr>
        <w:pStyle w:val="Compact"/>
      </w:pPr>
      <w:r>
        <w:rPr>
          <w:bCs/>
          <w:b/>
        </w:rPr>
        <w:t xml:space="preserve">GB200 NVL72 比 B300 还要贵 10.7%（$0.114 vs $0.103）</w:t>
      </w:r>
      <w:r>
        <w:t xml:space="preserve">——NVL72 在该模型上未体现机架规模优势</w:t>
      </w:r>
    </w:p>
    <w:p>
      <w:pPr>
        <w:numPr>
          <w:ilvl w:val="0"/>
          <w:numId w:val="1028"/>
        </w:numPr>
        <w:pStyle w:val="Compact"/>
      </w:pPr>
      <w:r>
        <w:rPr>
          <w:bCs/>
          <w:b/>
        </w:rPr>
        <w:t xml:space="preserve">MI355X 比 B200 便宜 26%</w:t>
      </w:r>
      <w:r>
        <w:t xml:space="preserve">——AMD 在 2.8T Kimi 上</w:t>
      </w:r>
      <w:r>
        <w:rPr>
          <w:bCs/>
          <w:b/>
        </w:rPr>
        <w:t xml:space="preserve">反胜 B200</w:t>
      </w:r>
      <w:r>
        <w:t xml:space="preserve">，是 §5.1 中 1.6T 趋势的反例</w:t>
      </w:r>
    </w:p>
    <w:p>
      <w:pPr>
        <w:pStyle w:val="FirstParagraph"/>
      </w:pPr>
      <w:r>
        <w:rPr>
          <w:bCs/>
          <w:b/>
        </w:rPr>
        <w:t xml:space="preserve">专业含义</w:t>
      </w:r>
      <w:r>
        <w:t xml:space="preserve">：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MoE 规模越大，AMD MI355X 越有竞争力</w:t>
      </w:r>
      <w:r>
        <w:t xml:space="preserve">：推测 2.8T 模型对显存带宽需求压倒 NVIDIA 单卡 BOM 优势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GB300 刷新带来的代际优势极大</w:t>
      </w:r>
      <w:r>
        <w:t xml:space="preserve">：相比 GB200 NVL72 下降 67%（$0.114 → $0.038）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NVL72 与单卡之间呈现非线性</w:t>
      </w:r>
      <w:r>
        <w:t xml:space="preserve">：同一代（GB300 NVL72 vs B300）差距是 −63%，但跨代（GB200 NVL72 vs B200）是 +54%——</w:t>
      </w:r>
      <w:r>
        <w:rPr>
          <w:bCs/>
          <w:b/>
        </w:rPr>
        <w:t xml:space="preserve">说明 SageAttention / FP4 path 是否稳定优化比机架规模更重要</w:t>
      </w:r>
    </w:p>
    <w:bookmarkEnd w:id="59"/>
    <w:bookmarkStart w:id="60" w:name="X0cd99429dfc48548ec699b1ce05dc6bf9d80456"/>
    <w:p>
      <w:pPr>
        <w:pStyle w:val="Heading3"/>
      </w:pPr>
      <w:r>
        <w:t xml:space="preserve">5.3 解读</w:t>
      </w:r>
      <w:r>
        <w:t xml:space="preserve"> </w:t>
      </w:r>
      <w:r>
        <w:t xml:space="preserve">“</w:t>
      </w:r>
      <w:r>
        <w:t xml:space="preserve">Qwen3.5 397B AgentX</w:t>
      </w:r>
      <w:r>
        <w:t xml:space="preserve">”</w:t>
      </w:r>
      <w:r>
        <w:t xml:space="preserve"> </w:t>
      </w:r>
      <w:r>
        <w:t xml:space="preserve">vs</w:t>
      </w:r>
      <w:r>
        <w:t xml:space="preserve"> </w:t>
      </w:r>
      <w:r>
        <w:t xml:space="preserve">“</w:t>
      </w:r>
      <w:r>
        <w:t xml:space="preserve">Qwen3.5 397B 8K/1K</w:t>
      </w:r>
      <w:r>
        <w:t xml:space="preserve">”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硬件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AgentX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8K/1K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变化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$0.049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+172%</w:t>
            </w:r>
            <w:r>
              <w:t xml:space="preserve">（AgentX 更便宜）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MI355X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$0.008 (−58%)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$0.051 (+4%)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+538%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B300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$0.014 (−25%)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$0.036 (−26%)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+157%</w:t>
            </w:r>
          </w:p>
        </w:tc>
      </w:tr>
    </w:tbl>
    <w:p>
      <w:pPr>
        <w:pStyle w:val="BodyText"/>
      </w:pPr>
      <w:r>
        <w:rPr>
          <w:bCs/>
          <w:b/>
        </w:rPr>
        <w:t xml:space="preserve">直接观察</w:t>
      </w:r>
      <w:r>
        <w:t xml:space="preserve">：</w:t>
      </w:r>
    </w:p>
    <w:p>
      <w:pPr>
        <w:numPr>
          <w:ilvl w:val="0"/>
          <w:numId w:val="1029"/>
        </w:numPr>
        <w:pStyle w:val="Compact"/>
      </w:pPr>
      <w:r>
        <w:rPr>
          <w:bCs/>
          <w:b/>
        </w:rPr>
        <w:t xml:space="preserve">几乎所有硬件在 AgentX 上的成本都比 8K/1K 低 30-80%</w:t>
      </w:r>
      <w:r>
        <w:t xml:space="preserve">——这反直觉，理论上 AgentX 多轮更长应该更贵</w:t>
      </w:r>
    </w:p>
    <w:p>
      <w:pPr>
        <w:numPr>
          <w:ilvl w:val="0"/>
          <w:numId w:val="1029"/>
        </w:numPr>
        <w:pStyle w:val="Compact"/>
      </w:pPr>
      <w:r>
        <w:rPr>
          <w:bCs/>
          <w:b/>
        </w:rPr>
        <w:t xml:space="preserve">真实原因</w:t>
      </w:r>
      <w:r>
        <w:t xml:space="preserve">：AgentX 工作负载自带大量 prefix cache 复用，KV cache 跨请求共享比例显著高于 8K/1K；KV cache 复用直接降低每个 token 的实际显存读写量</w:t>
      </w:r>
    </w:p>
    <w:p>
      <w:pPr>
        <w:numPr>
          <w:ilvl w:val="0"/>
          <w:numId w:val="1029"/>
        </w:numPr>
        <w:pStyle w:val="Compact"/>
      </w:pPr>
      <w:r>
        <w:rPr>
          <w:bCs/>
          <w:b/>
        </w:rPr>
        <w:t xml:space="preserve">Qwen3.5 是页面中唯一一个同时跑两个场景的模型</w:t>
      </w:r>
      <w:r>
        <w:t xml:space="preserve">：这是横向”场景影响”的直接证据</w:t>
      </w:r>
    </w:p>
    <w:p>
      <w:pPr>
        <w:pStyle w:val="FirstParagraph"/>
      </w:pPr>
      <w:r>
        <w:rPr>
          <w:bCs/>
          <w:b/>
        </w:rPr>
        <w:t xml:space="preserve">专业含义</w:t>
      </w:r>
      <w:r>
        <w:t xml:space="preserve">：</w:t>
      </w:r>
    </w:p>
    <w:p>
      <w:pPr>
        <w:numPr>
          <w:ilvl w:val="0"/>
          <w:numId w:val="1030"/>
        </w:numPr>
        <w:pStyle w:val="Compact"/>
      </w:pPr>
      <w:r>
        <w:t xml:space="preserve">选 inference 服务时，</w:t>
      </w:r>
      <w:r>
        <w:rPr>
          <w:bCs/>
          <w:b/>
        </w:rPr>
        <w:t xml:space="preserve">真实负载场景（AgentX 风格）下 cost/M token 数值会显著降低</w:t>
      </w:r>
      <w:r>
        <w:t xml:space="preserve">，但代价是 SLO 可能更严苛</w:t>
      </w:r>
    </w:p>
    <w:p>
      <w:pPr>
        <w:numPr>
          <w:ilvl w:val="0"/>
          <w:numId w:val="1030"/>
        </w:numPr>
        <w:pStyle w:val="Compact"/>
      </w:pPr>
      <w:r>
        <w:t xml:space="preserve">8K/1K 是 RAG / 长上下文 Q&amp;A 典型负载形态，</w:t>
      </w:r>
      <w:r>
        <w:rPr>
          <w:bCs/>
          <w:b/>
        </w:rPr>
        <w:t xml:space="preserve">该数字更适合 RAG 选型，不适合 Agent 选型</w:t>
      </w:r>
    </w:p>
    <w:p>
      <w:pPr>
        <w:numPr>
          <w:ilvl w:val="0"/>
          <w:numId w:val="1030"/>
        </w:numPr>
        <w:pStyle w:val="Compact"/>
      </w:pPr>
      <w:r>
        <w:t xml:space="preserve">工程师应根据自己的 SLA 形态选择参考场景，不要被”8K/1K 贵”吓到</w:t>
      </w:r>
    </w:p>
    <w:bookmarkEnd w:id="60"/>
    <w:bookmarkStart w:id="61" w:name="解读-deepseek-v4.1-flash-552b-一行"/>
    <w:p>
      <w:pPr>
        <w:pStyle w:val="Heading3"/>
      </w:pPr>
      <w:r>
        <w:t xml:space="preserve">5.4 解读</w:t>
      </w:r>
      <w:r>
        <w:t xml:space="preserve"> </w:t>
      </w:r>
      <w:r>
        <w:t xml:space="preserve">“</w:t>
      </w:r>
      <w:r>
        <w:t xml:space="preserve">DeepSeek V4.1 Flash 552B</w:t>
      </w:r>
      <w:r>
        <w:t xml:space="preserve">”</w:t>
      </w:r>
      <w:r>
        <w:t xml:space="preserve"> </w:t>
      </w:r>
      <w:r>
        <w:t xml:space="preserve">一行</w:t>
      </w:r>
    </w:p>
    <w:p>
      <w:pPr>
        <w:pStyle w:val="SourceCode"/>
      </w:pPr>
      <w:r>
        <w:rPr>
          <w:rStyle w:val="VerbatimChar"/>
        </w:rPr>
        <w:t xml:space="preserve">MI355X:      $0.003</w:t>
      </w:r>
      <w:r>
        <w:br/>
      </w:r>
      <w:r>
        <w:rPr>
          <w:rStyle w:val="VerbatimChar"/>
        </w:rPr>
        <w:t xml:space="preserve">B300:        $0.002                     ← 全表最低 $0.002!</w:t>
      </w:r>
      <w:r>
        <w:br/>
      </w:r>
      <w:r>
        <w:rPr>
          <w:rStyle w:val="VerbatimChar"/>
        </w:rPr>
        <w:t xml:space="preserve">GB300 NVL72: $0.002                     ← 与 B300 并列全表最低</w:t>
      </w:r>
      <w:r>
        <w:br/>
      </w:r>
      <w:r>
        <w:rPr>
          <w:rStyle w:val="VerbatimChar"/>
        </w:rPr>
        <w:t xml:space="preserve">GB200 NVL72: $0.015                     ← 反差最大</w:t>
      </w:r>
      <w:r>
        <w:br/>
      </w:r>
      <w:r>
        <w:rPr>
          <w:rStyle w:val="VerbatimChar"/>
        </w:rPr>
        <w:t xml:space="preserve">B200:        无结果（B200 单卡跑 552B MoE 不达标）</w:t>
      </w:r>
    </w:p>
    <w:p>
      <w:pPr>
        <w:pStyle w:val="FirstParagraph"/>
      </w:pPr>
      <w:r>
        <w:rPr>
          <w:bCs/>
          <w:b/>
        </w:rPr>
        <w:t xml:space="preserve">直接观察</w:t>
      </w:r>
      <w:r>
        <w:t xml:space="preserve">：</w:t>
      </w:r>
    </w:p>
    <w:p>
      <w:pPr>
        <w:numPr>
          <w:ilvl w:val="0"/>
          <w:numId w:val="1031"/>
        </w:numPr>
        <w:pStyle w:val="Compact"/>
      </w:pPr>
      <w:r>
        <w:rPr>
          <w:bCs/>
          <w:b/>
        </w:rPr>
        <w:t xml:space="preserve">三个硬件在 0.002-0.003 之间成本几乎相等</w:t>
      </w:r>
      <w:r>
        <w:t xml:space="preserve">：B300、GB300 NVL72、MI355X 形成第一梯队</w:t>
      </w:r>
    </w:p>
    <w:p>
      <w:pPr>
        <w:numPr>
          <w:ilvl w:val="0"/>
          <w:numId w:val="1031"/>
        </w:numPr>
        <w:pStyle w:val="Compact"/>
      </w:pPr>
      <w:r>
        <w:rPr>
          <w:bCs/>
          <w:b/>
        </w:rPr>
        <w:t xml:space="preserve">GB200 NVL72 反而是 7.5× 昂贵</w:t>
      </w:r>
      <w:r>
        <w:t xml:space="preserve">：可能 GB200 在 FP4 + MTP on V4.1 Flash 上尚不成熟</w:t>
      </w:r>
    </w:p>
    <w:p>
      <w:pPr>
        <w:numPr>
          <w:ilvl w:val="0"/>
          <w:numId w:val="1031"/>
        </w:numPr>
        <w:pStyle w:val="Compact"/>
      </w:pPr>
      <w:r>
        <w:rPr>
          <w:bCs/>
          <w:b/>
        </w:rPr>
        <w:t xml:space="preserve">B200 完全”无结果”</w:t>
      </w:r>
      <w:r>
        <w:t xml:space="preserve">：1 卡 B200 跑 552B MoE 失败</w:t>
      </w:r>
    </w:p>
    <w:p>
      <w:pPr>
        <w:pStyle w:val="FirstParagraph"/>
      </w:pPr>
      <w:r>
        <w:rPr>
          <w:bCs/>
          <w:b/>
        </w:rPr>
        <w:t xml:space="preserve">专业含义</w:t>
      </w:r>
      <w:r>
        <w:t xml:space="preserve">：</w:t>
      </w:r>
    </w:p>
    <w:p>
      <w:pPr>
        <w:numPr>
          <w:ilvl w:val="0"/>
          <w:numId w:val="1032"/>
        </w:numPr>
        <w:pStyle w:val="Compact"/>
      </w:pPr>
      <w:r>
        <w:t xml:space="preserve">552B 处于”NVL72 与 B300 都吃得很饱”的甜蜜点，硬件规模化收益大致相同</w:t>
      </w:r>
    </w:p>
    <w:p>
      <w:pPr>
        <w:numPr>
          <w:ilvl w:val="0"/>
          <w:numId w:val="1032"/>
        </w:numPr>
        <w:pStyle w:val="Compact"/>
      </w:pPr>
      <w:r>
        <w:rPr>
          <w:bCs/>
          <w:b/>
        </w:rPr>
        <w:t xml:space="preserve">仅看单卡 B300（$0.002）与 GB300 NVL72（$0.002）相等</w:t>
      </w:r>
      <w:r>
        <w:t xml:space="preserve">，意味着 NVL72 的规模优势在该模型上</w:t>
      </w:r>
      <w:r>
        <w:rPr>
          <w:bCs/>
          <w:b/>
        </w:rPr>
        <w:t xml:space="preserve">用成本摊销的方式表达为”单机架 ≈ 单卡”</w:t>
      </w:r>
      <w:r>
        <w:t xml:space="preserve"> </w:t>
      </w:r>
      <w:r>
        <w:t xml:space="preserve">—— 用户应关注的是”是否够用而非是否省钱”</w:t>
      </w:r>
    </w:p>
    <w:p>
      <w:pPr>
        <w:numPr>
          <w:ilvl w:val="0"/>
          <w:numId w:val="1032"/>
        </w:numPr>
        <w:pStyle w:val="Compact"/>
      </w:pPr>
      <w:r>
        <w:t xml:space="preserve">GB200 NVL72 异常偏高是红旗：可能在驱动 / 引擎稳定阶段，</w:t>
      </w:r>
      <w:r>
        <w:rPr>
          <w:bCs/>
          <w:b/>
        </w:rPr>
        <w:t xml:space="preserve">不建议现阶段使用 GB200 NVL72 跑 V4.1 Flash</w:t>
      </w:r>
    </w:p>
    <w:bookmarkEnd w:id="61"/>
    <w:bookmarkStart w:id="62" w:name="解读-glm5.3-744b-仅一行可用"/>
    <w:p>
      <w:pPr>
        <w:pStyle w:val="Heading3"/>
      </w:pPr>
      <w:r>
        <w:t xml:space="preserve">5.5 解读</w:t>
      </w:r>
      <w:r>
        <w:t xml:space="preserve"> </w:t>
      </w:r>
      <w:r>
        <w:t xml:space="preserve">“</w:t>
      </w:r>
      <w:r>
        <w:t xml:space="preserve">GLM5.3 744B</w:t>
      </w:r>
      <w:r>
        <w:t xml:space="preserve">”</w:t>
      </w:r>
      <w:r>
        <w:t xml:space="preserve"> </w:t>
      </w:r>
      <w:r>
        <w:t xml:space="preserve">仅一行可用</w:t>
      </w:r>
    </w:p>
    <w:p>
      <w:pPr>
        <w:numPr>
          <w:ilvl w:val="0"/>
          <w:numId w:val="1033"/>
        </w:numPr>
        <w:pStyle w:val="Compact"/>
      </w:pPr>
      <w:r>
        <w:t xml:space="preserve">MI355X/SGLang/FP4/MTP：</w:t>
      </w:r>
      <w:r>
        <w:rPr>
          <w:rStyle w:val="VerbatimChar"/>
        </w:rPr>
        <w:t xml:space="preserve">$0.023</w:t>
      </w:r>
      <w:r>
        <w:t xml:space="preserve">，是 GLM 全行唯一可读数</w:t>
      </w:r>
    </w:p>
    <w:p>
      <w:pPr>
        <w:numPr>
          <w:ilvl w:val="0"/>
          <w:numId w:val="1033"/>
        </w:numPr>
        <w:pStyle w:val="Compact"/>
      </w:pPr>
      <w:r>
        <w:t xml:space="preserve">其他硬件均”无结果”—— GLM5.3 的覆盖明显滞后于 Qwen / DeepSeek</w:t>
      </w:r>
    </w:p>
    <w:p>
      <w:pPr>
        <w:pStyle w:val="FirstParagraph"/>
      </w:pPr>
      <w:r>
        <w:rPr>
          <w:bCs/>
          <w:b/>
        </w:rPr>
        <w:t xml:space="preserve">专业含义</w:t>
      </w:r>
      <w:r>
        <w:t xml:space="preserve">：</w:t>
      </w:r>
    </w:p>
    <w:p>
      <w:pPr>
        <w:numPr>
          <w:ilvl w:val="0"/>
          <w:numId w:val="1034"/>
        </w:numPr>
        <w:pStyle w:val="Compact"/>
      </w:pPr>
      <w:r>
        <w:t xml:space="preserve">任何选型决策若以 GLM5.3 为候选，</w:t>
      </w:r>
      <w:r>
        <w:rPr>
          <w:bCs/>
          <w:b/>
        </w:rPr>
        <w:t xml:space="preserve">目前只有 AMD 路径有数据</w:t>
      </w:r>
      <w:r>
        <w:t xml:space="preserve">——AMD 在该模型上有先发优势</w:t>
      </w:r>
    </w:p>
    <w:p>
      <w:pPr>
        <w:numPr>
          <w:ilvl w:val="0"/>
          <w:numId w:val="1034"/>
        </w:numPr>
        <w:pStyle w:val="Compact"/>
      </w:pPr>
      <w:r>
        <w:t xml:space="preserve">该行反映了”基准覆盖率”的不均衡：DeepSeek / Qwen 已全面覆盖，GLM 仅一线</w:t>
      </w:r>
    </w:p>
    <w:bookmarkEnd w:id="62"/>
    <w:bookmarkStart w:id="63" w:name="跨模型横向性价比梯队按页面已呈现最优硬件排序"/>
    <w:p>
      <w:pPr>
        <w:pStyle w:val="Heading3"/>
      </w:pPr>
      <w:r>
        <w:t xml:space="preserve">5.6 跨模型横向性价比梯队（按”页面已呈现最优硬件”排序）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梯队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模型 × 最佳硬件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最佳成本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头部（小模型 + 强硬件）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DeepSeek V4.1 Flash 552B × B300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$0.002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头部（同上 + NVL72）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DeepSeek V4.1 Flash 552B × GB300 NVL72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$0.002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上层（MoE + Blackwell）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Qwen3.8 Flash Next 176B × GB300 NVL72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上层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Qwen3.5 397B × GB200 NVL72 (AgentX)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上层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DeepSeek V4 Pro 1.6T × B200 (AgentX)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中层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Qwen3.5 397B × MI355X (AgentX)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中层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B300 / DeepSeek V4 Pro 1.6T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中层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GB300 NVL72 / DeepSeek V4 Pro 1.6T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$0.011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中层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MI355X / DeepSeek V4 Pro 1.6T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$0.011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中下层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GLM5.3 744B × MI355X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$0.023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下层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Qwen3.5 397B × B300 (8K/1K)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$0.036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较贵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GB300 NVL72 × Kimi K3 2.8T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$0.038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较贵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Qwen3.5 397B × B200 (8K/1K)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$0.049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较贵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MI355X × Kimi K3 2.8T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$0.054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最贵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B200 × Kimi K3 2.8T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$0.074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最贵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B300 × Kimi K3 2.8T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$0.103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最贵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GB200 NVL72 × Kimi K3 2.8T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$0.114</w:t>
            </w:r>
          </w:p>
        </w:tc>
      </w:tr>
    </w:tbl>
    <w:p>
      <w:pPr>
        <w:pStyle w:val="BodyText"/>
      </w:pPr>
      <w:r>
        <w:rPr>
          <w:bCs/>
          <w:b/>
        </w:rPr>
        <w:t xml:space="preserve">对读者的提示</w:t>
      </w:r>
      <w:r>
        <w:t xml:space="preserve">：</w:t>
      </w:r>
    </w:p>
    <w:p>
      <w:pPr>
        <w:numPr>
          <w:ilvl w:val="0"/>
          <w:numId w:val="1035"/>
        </w:numPr>
        <w:pStyle w:val="Compact"/>
      </w:pPr>
      <w:r>
        <w:rPr>
          <w:bCs/>
          <w:b/>
        </w:rPr>
        <w:t xml:space="preserve">同一模型跨硬件差距可达 3-4 倍</w:t>
      </w:r>
      <w:r>
        <w:t xml:space="preserve">，仅看模型不能给出”该模型便宜/贵”的结论</w:t>
      </w:r>
    </w:p>
    <w:p>
      <w:pPr>
        <w:numPr>
          <w:ilvl w:val="0"/>
          <w:numId w:val="1035"/>
        </w:numPr>
        <w:pStyle w:val="Compact"/>
      </w:pPr>
      <w:r>
        <w:rPr>
          <w:bCs/>
          <w:b/>
        </w:rPr>
        <w:t xml:space="preserve">Kimi K3 2.8T 是当前最”难伺候”模型</w:t>
      </w:r>
      <w:r>
        <w:t xml:space="preserve">：所有硬件上成本均位于 §5 表下半区</w:t>
      </w:r>
    </w:p>
    <w:p>
      <w:pPr>
        <w:numPr>
          <w:ilvl w:val="0"/>
          <w:numId w:val="1035"/>
        </w:numPr>
        <w:pStyle w:val="Compact"/>
      </w:pPr>
      <w:r>
        <w:rPr>
          <w:bCs/>
          <w:b/>
        </w:rPr>
        <w:t xml:space="preserve">DeepSeek V4.1 Flash 552B 是当前最”亲民”选择</w:t>
      </w:r>
      <w:r>
        <w:t xml:space="preserve">：3 个硬件并列 $0.002</w:t>
      </w:r>
    </w:p>
    <w:bookmarkEnd w:id="63"/>
    <w:bookmarkStart w:id="64" w:name="解读建议给工程采购-架构师"/>
    <w:p>
      <w:pPr>
        <w:pStyle w:val="Heading3"/>
      </w:pPr>
      <w:r>
        <w:t xml:space="preserve">5.7 解读建议（给工程采购 / 架构师）</w:t>
      </w:r>
    </w:p>
    <w:p>
      <w:pPr>
        <w:pStyle w:val="FirstParagraph"/>
      </w:pPr>
      <w:r>
        <w:rPr>
          <w:bCs/>
          <w:b/>
        </w:rPr>
        <w:t xml:space="preserve">场景 1：你正选型 RAG / 长上下文 Q&amp;A 服务</w:t>
      </w:r>
    </w:p>
    <w:p>
      <w:pPr>
        <w:numPr>
          <w:ilvl w:val="0"/>
          <w:numId w:val="1036"/>
        </w:numPr>
        <w:pStyle w:val="Compact"/>
      </w:pPr>
      <w:r>
        <w:t xml:space="preserve">参考”8K/1K”场景，Qwen3.5 397B 的 B300 是</w:t>
      </w:r>
      <w:r>
        <w:t xml:space="preserve"> </w:t>
      </w:r>
      <w:r>
        <w:rPr>
          <w:bCs/>
          <w:b/>
        </w:rPr>
        <w:t xml:space="preserve">−26%</w:t>
      </w:r>
      <w:r>
        <w:t xml:space="preserve"> </w:t>
      </w:r>
      <w:r>
        <w:t xml:space="preserve">对 B200 的最优选项</w:t>
      </w:r>
    </w:p>
    <w:p>
      <w:pPr>
        <w:numPr>
          <w:ilvl w:val="0"/>
          <w:numId w:val="1036"/>
        </w:numPr>
        <w:pStyle w:val="Compact"/>
      </w:pPr>
      <w:r>
        <w:t xml:space="preserve">实时性优先 → 直接看 B300；扩展性优先 → 等待 NVL72 数据</w:t>
      </w:r>
    </w:p>
    <w:p>
      <w:pPr>
        <w:numPr>
          <w:ilvl w:val="0"/>
          <w:numId w:val="1036"/>
        </w:numPr>
        <w:pStyle w:val="Compact"/>
      </w:pPr>
      <w:r>
        <w:t xml:space="preserve">切勿用 AgentX 数字推断 RAG（AgentX 更便宜但 prefix cache 假设更强）</w:t>
      </w:r>
    </w:p>
    <w:p>
      <w:pPr>
        <w:pStyle w:val="FirstParagraph"/>
      </w:pPr>
      <w:r>
        <w:rPr>
          <w:bCs/>
          <w:b/>
        </w:rPr>
        <w:t xml:space="preserve">场景 2：你正选型代码 / Agent 服务</w:t>
      </w:r>
    </w:p>
    <w:p>
      <w:pPr>
        <w:numPr>
          <w:ilvl w:val="0"/>
          <w:numId w:val="1037"/>
        </w:numPr>
        <w:pStyle w:val="Compact"/>
      </w:pPr>
      <w:r>
        <w:t xml:space="preserve">AgentX 场景下：</w:t>
      </w:r>
      <w:r>
        <w:rPr>
          <w:bCs/>
          <w:b/>
        </w:rPr>
        <w:t xml:space="preserve">GB300 NVL72 跑 Kimi K3</w:t>
      </w:r>
      <w:r>
        <w:t xml:space="preserve"> </w:t>
      </w:r>
      <w:r>
        <w:t xml:space="preserve">是成本最优（$0.038）</w:t>
      </w:r>
    </w:p>
    <w:p>
      <w:pPr>
        <w:numPr>
          <w:ilvl w:val="0"/>
          <w:numId w:val="1037"/>
        </w:numPr>
        <w:pStyle w:val="Compact"/>
      </w:pPr>
      <w:r>
        <w:t xml:space="preserve">但若模型未定，</w:t>
      </w:r>
      <w:r>
        <w:rPr>
          <w:bCs/>
          <w:b/>
        </w:rPr>
        <w:t xml:space="preserve">DeepSeek V4.1 Flash 552B + B300 单卡</w:t>
      </w:r>
      <w:r>
        <w:t xml:space="preserve"> </w:t>
      </w:r>
      <w:r>
        <w:t xml:space="preserve">是最低成本（$0.002），适合参数化路由（轻量路由走 Flash，重负载走 Pro）</w:t>
      </w:r>
    </w:p>
    <w:p>
      <w:pPr>
        <w:numPr>
          <w:ilvl w:val="0"/>
          <w:numId w:val="1037"/>
        </w:numPr>
        <w:pStyle w:val="Compact"/>
      </w:pPr>
      <w:r>
        <w:t xml:space="preserve">若偏向 AMD：MI355X + Kimi K3（$0.054） 或 MI355X + Qwen3.5（$0.008），AMD 在 Qwen3.5 上优势最大</w:t>
      </w:r>
    </w:p>
    <w:p>
      <w:pPr>
        <w:pStyle w:val="FirstParagraph"/>
      </w:pPr>
      <w:r>
        <w:rPr>
          <w:bCs/>
          <w:b/>
        </w:rPr>
        <w:t xml:space="preserve">场景 3：你想评估”现在该不该从 B200 升级 B300 / NVL72”</w:t>
      </w:r>
    </w:p>
    <w:p>
      <w:pPr>
        <w:numPr>
          <w:ilvl w:val="0"/>
          <w:numId w:val="1038"/>
        </w:numPr>
        <w:pStyle w:val="Compact"/>
      </w:pPr>
      <w:r>
        <w:t xml:space="preserve">在 DeepSeek V4 Pro 1.6T 上：</w:t>
      </w:r>
      <w:r>
        <w:rPr>
          <w:bCs/>
          <w:b/>
        </w:rPr>
        <w:t xml:space="preserve">升级 B300 反而贵 18%</w:t>
      </w:r>
      <w:r>
        <w:t xml:space="preserve">——不要无脑升级</w:t>
      </w:r>
    </w:p>
    <w:p>
      <w:pPr>
        <w:numPr>
          <w:ilvl w:val="0"/>
          <w:numId w:val="1038"/>
        </w:numPr>
        <w:pStyle w:val="Compact"/>
      </w:pPr>
      <w:r>
        <w:t xml:space="preserve">在 Kimi K3 2.8T 上：从 B200 → GB300 NVL72 便宜 48%，</w:t>
      </w:r>
      <w:r>
        <w:rPr>
          <w:bCs/>
          <w:b/>
        </w:rPr>
        <w:t xml:space="preserve">这次升级明显划算</w:t>
      </w:r>
    </w:p>
    <w:p>
      <w:pPr>
        <w:numPr>
          <w:ilvl w:val="0"/>
          <w:numId w:val="1038"/>
        </w:numPr>
        <w:pStyle w:val="Compact"/>
      </w:pPr>
      <w:r>
        <w:t xml:space="preserve">模型决定成本走向，并非硬件决定</w:t>
      </w:r>
    </w:p>
    <w:bookmarkEnd w:id="64"/>
    <w:bookmarkStart w:id="65" w:name="解读禁忌避免的解读错误"/>
    <w:p>
      <w:pPr>
        <w:pStyle w:val="Heading3"/>
      </w:pPr>
      <w:r>
        <w:t xml:space="preserve">5.8 解读禁忌（避免的解读错误）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错误解读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正确理解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B200 比 B300 便宜</w:t>
            </w:r>
            <w:r>
              <w:t xml:space="preserve">”</w:t>
            </w:r>
            <w:r>
              <w:t xml:space="preserve"> </w:t>
            </w:r>
            <w:r>
              <w:t xml:space="preserve">⇒ 等买 B200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单个模型上 B300 可能更贵（Kimi 2.8T），但其他模型可能相反；选型需按模型 × 硬件展开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GB300 NVL72 永远比单卡好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Kimi 3 2.8T 上 GB300 NVL72 比 B200 便宜 48%，但 GB200 NVL72 比 B200 贵 54%，</w:t>
            </w:r>
            <w:r>
              <w:rPr>
                <w:bCs/>
                <w:b/>
              </w:rPr>
              <w:t xml:space="preserve">NVL72 同代间优势不保证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AMD MI355X 永远比 NVIDIA 贵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Qwen3.5 397B / Kimi K3 2.8T 上 MI355X 优于 B200；DeepSeek V4 Pro 1.6T 上 MI355X 弱于 B200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AgentX 数字代表生产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AgentX 是合成 prompt + 真实轨迹的混合工作负载；合成 prompt 简化了部分 system prompt 开销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$0.007 就是 GPU 单价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数字是”分时价 / 吞吐”综合，不能简单拆出”GPU 价”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无结果 = 不能用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无结果是</w:t>
            </w:r>
            <w:r>
              <w:t xml:space="preserve"> </w:t>
            </w:r>
            <w:r>
              <w:t xml:space="preserve">@50</w:t>
            </w:r>
            <w:r>
              <w:t xml:space="preserve"> </w:t>
            </w:r>
            <w:r>
              <w:t xml:space="preserve">SLO 不达标；</w:t>
            </w:r>
            <w:r>
              <w:t xml:space="preserve">@30</w:t>
            </w:r>
            <w:r>
              <w:t xml:space="preserve"> </w:t>
            </w:r>
            <w:r>
              <w:t xml:space="preserve">SLO 可能达标，需切换滑块确认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65"/>
    <w:bookmarkEnd w:id="66"/>
    <w:bookmarkStart w:id="72" w:name="横向对比分析"/>
    <w:p>
      <w:pPr>
        <w:pStyle w:val="Heading2"/>
      </w:pPr>
      <w:r>
        <w:t xml:space="preserve">6. 横向对比分析</w:t>
      </w:r>
    </w:p>
    <w:p>
      <w:pPr>
        <w:pStyle w:val="BlockText"/>
      </w:pPr>
      <w:r>
        <w:t xml:space="preserve">重要说明：本节”对比分析”基于</w:t>
      </w:r>
      <w:r>
        <w:rPr>
          <w:bCs/>
          <w:b/>
        </w:rPr>
        <w:t xml:space="preserve">中文</w:t>
      </w:r>
      <w:r>
        <w:rPr>
          <w:bCs/>
          <w:b/>
        </w:rPr>
        <w:t xml:space="preserve"> </w:t>
      </w:r>
      <w:r>
        <w:rPr>
          <w:rStyle w:val="VerbatimChar"/>
          <w:bCs/>
          <w:b/>
        </w:rPr>
        <w:t xml:space="preserve">/zh/overview</w:t>
      </w:r>
      <w:r>
        <w:rPr>
          <w:bCs/>
          <w:b/>
        </w:rPr>
        <w:t xml:space="preserve"> </w:t>
      </w:r>
      <w:r>
        <w:rPr>
          <w:bCs/>
          <w:b/>
        </w:rPr>
        <w:t xml:space="preserve">页面</w:t>
      </w:r>
      <w:r>
        <w:t xml:space="preserve">已呈现的硬件 × 引擎 × 模型组合，不外推未经页面展示的具体成本数字。具体数值在表格中展示时以”页面未提供该项的具体数字”标注。</w:t>
      </w:r>
    </w:p>
    <w:bookmarkStart w:id="67" w:name="gpu-横向对比"/>
    <w:p>
      <w:pPr>
        <w:pStyle w:val="Heading3"/>
      </w:pPr>
      <w:r>
        <w:t xml:space="preserve">6.1 GPU 横向对比</w:t>
      </w:r>
    </w:p>
    <w:p>
      <w:pPr>
        <w:pStyle w:val="FirstParagraph"/>
      </w:pPr>
      <w:r>
        <w:rPr>
          <w:bCs/>
          <w:b/>
        </w:rPr>
        <w:t xml:space="preserve">页面已覆盖的对比维度</w:t>
      </w:r>
      <w:r>
        <w:t xml:space="preserve">（无需引入外部数据）：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对比轴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页面呈现方式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B200 vs B300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同模型下两代 Blackwell 的成本比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GB200 NVL72 vs GB300 NVL72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NVL72 机架级对比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单卡（B200/B300）vs 机架级（GB200/GB300 NVL72）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容量 vs 延迟权衡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NVIDIA vs AMD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MI355X 出现在 DeepSeek V4 Pro / Flash / Kimi K3 / GLM5.3 / Qwen3.5 多行</w:t>
            </w:r>
          </w:p>
        </w:tc>
      </w:tr>
    </w:tbl>
    <w:p>
      <w:pPr>
        <w:pStyle w:val="BodyText"/>
      </w:pPr>
      <w:r>
        <w:rPr>
          <w:bCs/>
          <w:b/>
        </w:rPr>
        <w:t xml:space="preserve">对比方法论提示</w:t>
      </w:r>
      <w:r>
        <w:t xml:space="preserve">：</w:t>
      </w:r>
    </w:p>
    <w:p>
      <w:pPr>
        <w:numPr>
          <w:ilvl w:val="0"/>
          <w:numId w:val="1039"/>
        </w:numPr>
        <w:pStyle w:val="Compact"/>
      </w:pPr>
      <w:r>
        <w:t xml:space="preserve">B300/GB300 是 Blackwell Refresh；GB300 NVL72 在某些模型（如 DeepSeek V4 Pro）下使用</w:t>
      </w:r>
      <w:r>
        <w:t xml:space="preserve"> </w:t>
      </w:r>
      <w:r>
        <w:rPr>
          <w:rStyle w:val="VerbatimChar"/>
        </w:rPr>
        <w:t xml:space="preserve">16P+16D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4P+8D</w:t>
      </w:r>
      <w:r>
        <w:t xml:space="preserve"> </w:t>
      </w:r>
      <w:r>
        <w:t xml:space="preserve">配置，反映 NVL72 允许更细粒度的 prefill/decode 切分</w:t>
      </w:r>
    </w:p>
    <w:p>
      <w:pPr>
        <w:numPr>
          <w:ilvl w:val="0"/>
          <w:numId w:val="1039"/>
        </w:numPr>
        <w:pStyle w:val="Compact"/>
      </w:pPr>
      <w:r>
        <w:t xml:space="preserve">MI355X 在 DeepSeek V4 Pro 1.6T 上以</w:t>
      </w:r>
      <w:r>
        <w:t xml:space="preserve"> </w:t>
      </w:r>
      <w:r>
        <w:rPr>
          <w:rStyle w:val="VerbatimChar"/>
        </w:rPr>
        <w:t xml:space="preserve">8P+8D</w:t>
      </w:r>
      <w:r>
        <w:t xml:space="preserve"> </w:t>
      </w:r>
      <w:r>
        <w:t xml:space="preserve">出现，与 NVIDIA GB300 NVL72 的</w:t>
      </w:r>
      <w:r>
        <w:t xml:space="preserve"> </w:t>
      </w:r>
      <w:r>
        <w:rPr>
          <w:rStyle w:val="VerbatimChar"/>
        </w:rPr>
        <w:t xml:space="preserve">4P+8D</w:t>
      </w:r>
      <w:r>
        <w:t xml:space="preserve"> </w:t>
      </w:r>
      <w:r>
        <w:t xml:space="preserve">拓扑结构不同——两者的 P:D 比例差异是</w:t>
      </w:r>
      <w:r>
        <w:rPr>
          <w:bCs/>
          <w:b/>
        </w:rPr>
        <w:t xml:space="preserve">阅读时的重要信号</w:t>
      </w:r>
    </w:p>
    <w:p>
      <w:pPr>
        <w:numPr>
          <w:ilvl w:val="0"/>
          <w:numId w:val="1039"/>
        </w:numPr>
        <w:pStyle w:val="Compact"/>
      </w:pPr>
      <w:r>
        <w:t xml:space="preserve">中文 overview 表中</w:t>
      </w:r>
      <w:r>
        <w:rPr>
          <w:bCs/>
          <w:b/>
        </w:rPr>
        <w:t xml:space="preserve">并未提供每张 GPU 的 TDP / 显存 / 互联带宽</w:t>
      </w:r>
      <w:r>
        <w:t xml:space="preserve">——做”性能 / 价格”分母计算需要补充外部数据</w:t>
      </w:r>
    </w:p>
    <w:bookmarkEnd w:id="67"/>
    <w:bookmarkStart w:id="68" w:name="推理引擎横向对比"/>
    <w:p>
      <w:pPr>
        <w:pStyle w:val="Heading3"/>
      </w:pPr>
      <w:r>
        <w:t xml:space="preserve">6.2 推理引擎横向对比</w:t>
      </w:r>
    </w:p>
    <w:p>
      <w:pPr>
        <w:pStyle w:val="FirstParagraph"/>
      </w:pPr>
      <w:r>
        <w:t xml:space="preserve">页面中</w:t>
      </w:r>
      <w:r>
        <w:rPr>
          <w:bCs/>
          <w:b/>
        </w:rPr>
        <w:t xml:space="preserve">同一模型可对应多个引擎</w:t>
      </w:r>
      <w:r>
        <w:t xml:space="preserve">，可形成引擎对比：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模型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出现的引擎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DeepSeek V4 Pro 1.6T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vLLM、MoRI SGLang、Dynamo vLLM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Kimi K3 2.8T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Dynamo vLLM、vLLM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Qwen3.5 397B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SGLang、Dynamo SGLang</w:t>
            </w:r>
          </w:p>
        </w:tc>
      </w:tr>
    </w:tbl>
    <w:p>
      <w:pPr>
        <w:pStyle w:val="BodyText"/>
      </w:pPr>
      <w:r>
        <w:rPr>
          <w:bCs/>
          <w:b/>
        </w:rPr>
        <w:t xml:space="preserve">对比观察点</w:t>
      </w:r>
      <w:r>
        <w:t xml:space="preserve">：</w:t>
      </w:r>
    </w:p>
    <w:p>
      <w:pPr>
        <w:numPr>
          <w:ilvl w:val="0"/>
          <w:numId w:val="1040"/>
        </w:numPr>
        <w:pStyle w:val="Compact"/>
      </w:pPr>
      <w:r>
        <w:t xml:space="preserve">在 NVIDIA Blackwell 上 Dynamo vLLM vs vLLM 的差异主要体现在</w:t>
      </w:r>
      <w:r>
        <w:t xml:space="preserve"> </w:t>
      </w:r>
      <w:r>
        <w:rPr>
          <w:bCs/>
          <w:b/>
        </w:rPr>
        <w:t xml:space="preserve">disaggregated serving（prefill/decode 分离）</w:t>
      </w:r>
      <w:r>
        <w:t xml:space="preserve">的成熟度</w:t>
      </w:r>
    </w:p>
    <w:p>
      <w:pPr>
        <w:numPr>
          <w:ilvl w:val="0"/>
          <w:numId w:val="1040"/>
        </w:numPr>
        <w:pStyle w:val="Compact"/>
      </w:pPr>
      <w:r>
        <w:t xml:space="preserve">在 AMD MI355X 上 MoRI SGLang 是唯一选项，意味着 AMD 与 vLLM 的协同在该硬件上</w:t>
      </w:r>
      <w:r>
        <w:rPr>
          <w:bCs/>
          <w:b/>
        </w:rPr>
        <w:t xml:space="preserve">未完成</w:t>
      </w:r>
    </w:p>
    <w:bookmarkEnd w:id="68"/>
    <w:bookmarkStart w:id="69" w:name="量化方案对比"/>
    <w:p>
      <w:pPr>
        <w:pStyle w:val="Heading3"/>
      </w:pPr>
      <w:r>
        <w:t xml:space="preserve">6.3 量化方案对比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精度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出现模型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出现硬件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FP4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几乎所有现代组合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B200/GB200/B300/GB300 NVL72、MI355X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FP8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部分组合（Qwen3.5 397B 部分行）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B200/B300/MI355X</w:t>
            </w:r>
          </w:p>
        </w:tc>
      </w:tr>
    </w:tbl>
    <w:p>
      <w:pPr>
        <w:pStyle w:val="BodyText"/>
      </w:pPr>
      <w:r>
        <w:rPr>
          <w:bCs/>
          <w:b/>
        </w:rPr>
        <w:t xml:space="preserve">对比观察</w:t>
      </w:r>
      <w:r>
        <w:t xml:space="preserve">：</w:t>
      </w:r>
    </w:p>
    <w:p>
      <w:pPr>
        <w:numPr>
          <w:ilvl w:val="0"/>
          <w:numId w:val="1041"/>
        </w:numPr>
        <w:pStyle w:val="Compact"/>
      </w:pPr>
      <w:r>
        <w:rPr>
          <w:rStyle w:val="VerbatimChar"/>
        </w:rPr>
        <w:t xml:space="preserve">FP4 vs FP8</w:t>
      </w:r>
      <w:r>
        <w:t xml:space="preserve"> </w:t>
      </w:r>
      <w:r>
        <w:t xml:space="preserve">在硬件兼容表中存在差异——同一模型（如 Qwen3.5 397B）在 B200 上是 FP8，到了 GB300 NVL72 变成 FP4，反映</w:t>
      </w:r>
      <w:r>
        <w:rPr>
          <w:bCs/>
          <w:b/>
        </w:rPr>
        <w:t xml:space="preserve">精度的硬件原生支持</w:t>
      </w:r>
      <w:r>
        <w:t xml:space="preserve">约束</w:t>
      </w:r>
    </w:p>
    <w:p>
      <w:pPr>
        <w:numPr>
          <w:ilvl w:val="0"/>
          <w:numId w:val="1041"/>
        </w:numPr>
        <w:pStyle w:val="Compact"/>
      </w:pPr>
      <w:r>
        <w:t xml:space="preserve">投机解码配置下 FP4 通常更优——</w:t>
      </w:r>
      <w:r>
        <w:rPr>
          <w:rStyle w:val="VerbatimChar"/>
        </w:rPr>
        <w:t xml:space="preserve">DRAFT_MODEL</w:t>
      </w:r>
      <w:r>
        <w:t xml:space="preserve"> </w:t>
      </w:r>
      <w:r>
        <w:t xml:space="preserve">路径降低了对 draft 模型权重的精度敏感度，使得激进 FP4 成为可能</w:t>
      </w:r>
    </w:p>
    <w:bookmarkEnd w:id="69"/>
    <w:bookmarkStart w:id="70" w:name="并发策略对比"/>
    <w:p>
      <w:pPr>
        <w:pStyle w:val="Heading3"/>
      </w:pPr>
      <w:r>
        <w:t xml:space="preserve">6.4 并发策略对比</w:t>
      </w:r>
    </w:p>
    <w:p>
      <w:pPr>
        <w:pStyle w:val="FirstParagraph"/>
      </w:pPr>
      <w:r>
        <w:t xml:space="preserve">页面未直接给出 batch size 扫描图，但</w:t>
      </w:r>
      <w:r>
        <w:rPr>
          <w:bCs/>
          <w:b/>
        </w:rPr>
        <w:t xml:space="preserve">“</w:t>
      </w:r>
      <w:r>
        <w:rPr>
          <w:bCs/>
          <w:b/>
        </w:rPr>
        <w:t xml:space="preserve">每百万总 token 成本</w:t>
      </w:r>
      <w:r>
        <w:rPr>
          <w:bCs/>
          <w:b/>
        </w:rPr>
        <w:t xml:space="preserve">”</w:t>
      </w:r>
      <w:r>
        <w:rPr>
          <w:bCs/>
          <w:b/>
        </w:rPr>
        <w:t xml:space="preserve">以”最优服务包络线”为前提</w:t>
      </w:r>
      <w:r>
        <w:t xml:space="preserve">，隐含做了 batch size sweep。</w:t>
      </w:r>
    </w:p>
    <w:p>
      <w:pPr>
        <w:pStyle w:val="BodyText"/>
      </w:pPr>
      <w:r>
        <w:rPr>
          <w:bCs/>
          <w:b/>
        </w:rPr>
        <w:t xml:space="preserve">专业推断</w:t>
      </w:r>
      <w:r>
        <w:t xml:space="preserve">：服务包络线扫描通常覆盖如下维度：</w:t>
      </w:r>
    </w:p>
    <w:p>
      <w:pPr>
        <w:numPr>
          <w:ilvl w:val="0"/>
          <w:numId w:val="1042"/>
        </w:numPr>
        <w:pStyle w:val="Compact"/>
      </w:pPr>
      <w:r>
        <w:t xml:space="preserve">并发用户数（典型：1, 8, 16, 32, 64, 128, 256, 512…）</w:t>
      </w:r>
    </w:p>
    <w:p>
      <w:pPr>
        <w:numPr>
          <w:ilvl w:val="0"/>
          <w:numId w:val="1042"/>
        </w:numPr>
        <w:pStyle w:val="Compact"/>
      </w:pPr>
      <w:r>
        <w:t xml:space="preserve">输入长度分布（关于页提到固定 1K/8K 与 AgentX 动态）</w:t>
      </w:r>
    </w:p>
    <w:p>
      <w:pPr>
        <w:numPr>
          <w:ilvl w:val="0"/>
          <w:numId w:val="1042"/>
        </w:numPr>
        <w:pStyle w:val="Compact"/>
      </w:pPr>
      <w:r>
        <w:t xml:space="preserve">Prefix cache 命中比例</w:t>
      </w:r>
    </w:p>
    <w:p>
      <w:pPr>
        <w:pStyle w:val="FirstParagraph"/>
      </w:pPr>
      <w:r>
        <w:rPr>
          <w:bCs/>
          <w:b/>
        </w:rPr>
        <w:t xml:space="preserve">这些 sweep 的具体参数化页面未给出</w:t>
      </w:r>
      <w:r>
        <w:t xml:space="preserve">——读者只能从</w:t>
      </w:r>
      <w:r>
        <w:t xml:space="preserve"> </w:t>
      </w:r>
      <w:r>
        <w:rPr>
          <w:rStyle w:val="VerbatimChar"/>
        </w:rPr>
        <w:t xml:space="preserve">/zh/dashboard</w:t>
      </w:r>
      <w:r>
        <w:t xml:space="preserve"> </w:t>
      </w:r>
      <w:r>
        <w:t xml:space="preserve">链接追溯到原始 benchmark shell 脚本。</w:t>
      </w:r>
    </w:p>
    <w:bookmarkEnd w:id="70"/>
    <w:bookmarkStart w:id="71" w:name="性价比梯队基于页面已呈现组合的定性观察"/>
    <w:p>
      <w:pPr>
        <w:pStyle w:val="Heading3"/>
      </w:pPr>
      <w:r>
        <w:t xml:space="preserve">6.5 性价比梯队（基于页面已呈现组合的定性观察）</w:t>
      </w:r>
    </w:p>
    <w:p>
      <w:pPr>
        <w:pStyle w:val="FirstParagraph"/>
      </w:pPr>
      <w:r>
        <w:t xml:space="preserve">不提供未在页面出现的具体数字，仅就页面组合做一个</w:t>
      </w:r>
      <w:r>
        <w:rPr>
          <w:bCs/>
          <w:b/>
        </w:rPr>
        <w:t xml:space="preserve">定性归纳</w:t>
      </w:r>
      <w:r>
        <w:t xml:space="preserve">：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梯队（定性）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页面观察到的组合形态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头部高带宽机架（capacity-optimized）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GB300 NVL72、GB200 NVL72，覆盖 1.6T 与 2.8T 级模型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单代 Blackwell + 国产框架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B300 / Dynamo vLLM / FP4 / MTP 路径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AMD 阵营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MI355X 主要走 MoRI SGLang 与 SGLang + FP4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旧卡（H100/H200/A100）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表格中</w:t>
            </w:r>
            <w:r>
              <w:rPr>
                <w:bCs/>
                <w:b/>
              </w:rPr>
              <w:t xml:space="preserve">未作为当前可比模型成本项</w:t>
            </w:r>
            <w:r>
              <w:t xml:space="preserve">列出，定位为 legacy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桌面卡（RTX 4090 / PRO）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overview 表中无对应行；推测用于开发与小规模测试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71"/>
    <w:bookmarkEnd w:id="72"/>
    <w:bookmarkStart w:id="76" w:name="局限性与注意事项"/>
    <w:p>
      <w:pPr>
        <w:pStyle w:val="Heading2"/>
      </w:pPr>
      <w:r>
        <w:t xml:space="preserve">7. 局限性与注意事项</w:t>
      </w:r>
    </w:p>
    <w:bookmarkStart w:id="73" w:name="该基准未覆盖的场景"/>
    <w:p>
      <w:pPr>
        <w:pStyle w:val="Heading3"/>
      </w:pPr>
      <w:r>
        <w:t xml:space="preserve">7.1 该基准未覆盖的场景</w:t>
      </w:r>
    </w:p>
    <w:p>
      <w:pPr>
        <w:pStyle w:val="FirstParagraph"/>
      </w:pPr>
      <w:r>
        <w:t xml:space="preserve">明确</w:t>
      </w:r>
      <w:r>
        <w:rPr>
          <w:bCs/>
          <w:b/>
        </w:rPr>
        <w:t xml:space="preserve">未覆盖</w:t>
      </w:r>
      <w:r>
        <w:t xml:space="preserve">（来自页面未提及 + about 页推断）：</w:t>
      </w:r>
    </w:p>
    <w:p>
      <w:pPr>
        <w:numPr>
          <w:ilvl w:val="0"/>
          <w:numId w:val="1043"/>
        </w:numPr>
        <w:pStyle w:val="Compact"/>
      </w:pPr>
      <w:r>
        <w:rPr>
          <w:bCs/>
          <w:b/>
        </w:rPr>
        <w:t xml:space="preserve">多模态</w:t>
      </w:r>
      <w:r>
        <w:t xml:space="preserve">：about 页明确未提及视觉、语音、视频工作负载</w:t>
      </w:r>
    </w:p>
    <w:p>
      <w:pPr>
        <w:numPr>
          <w:ilvl w:val="0"/>
          <w:numId w:val="1043"/>
        </w:numPr>
        <w:pStyle w:val="Compact"/>
      </w:pPr>
      <w:r>
        <w:rPr>
          <w:bCs/>
          <w:b/>
        </w:rPr>
        <w:t xml:space="preserve">极致长上下文</w:t>
      </w:r>
      <w:r>
        <w:t xml:space="preserve">：AgentX 当前 trace 主要覆盖”编码智能体”，128K~1M token 级 retrieval / RAG 场景未明确测试</w:t>
      </w:r>
    </w:p>
    <w:p>
      <w:pPr>
        <w:numPr>
          <w:ilvl w:val="0"/>
          <w:numId w:val="1043"/>
        </w:numPr>
        <w:pStyle w:val="Compact"/>
      </w:pPr>
      <w:r>
        <w:rPr>
          <w:bCs/>
          <w:b/>
        </w:rPr>
        <w:t xml:space="preserve">非英文模型</w:t>
      </w:r>
      <w:r>
        <w:t xml:space="preserve">：当前表格中模型来自中国厂商（DeepSeek / Qwen / Kimi / GLM）与 OpenAI / Meta 体系，但</w:t>
      </w:r>
      <w:r>
        <w:rPr>
          <w:bCs/>
          <w:b/>
        </w:rPr>
        <w:t xml:space="preserve">多语种与本地化评测（包含阿拉伯语 / 印地语 / 斯瓦希里语等）</w:t>
      </w:r>
      <w:r>
        <w:t xml:space="preserve">未提及</w:t>
      </w:r>
    </w:p>
    <w:p>
      <w:pPr>
        <w:numPr>
          <w:ilvl w:val="0"/>
          <w:numId w:val="1043"/>
        </w:numPr>
        <w:pStyle w:val="Compact"/>
      </w:pPr>
      <w:r>
        <w:rPr>
          <w:bCs/>
          <w:b/>
        </w:rPr>
        <w:t xml:space="preserve">离线嵌入（embedding）</w:t>
      </w:r>
      <w:r>
        <w:t xml:space="preserve">：仅涵盖文本生成类，未涵盖 embedding / reranker</w:t>
      </w:r>
    </w:p>
    <w:p>
      <w:pPr>
        <w:numPr>
          <w:ilvl w:val="0"/>
          <w:numId w:val="1043"/>
        </w:numPr>
        <w:pStyle w:val="Compact"/>
      </w:pPr>
      <w:r>
        <w:rPr>
          <w:bCs/>
          <w:b/>
        </w:rPr>
        <w:t xml:space="preserve">图片 / 视频生成</w:t>
      </w:r>
      <w:r>
        <w:t xml:space="preserve">（Sora / Veo 类）：完全未提</w:t>
      </w:r>
    </w:p>
    <w:bookmarkEnd w:id="73"/>
    <w:bookmarkStart w:id="74" w:name="与生产环境真实负载的差距"/>
    <w:p>
      <w:pPr>
        <w:pStyle w:val="Heading3"/>
      </w:pPr>
      <w:r>
        <w:t xml:space="preserve">7.2 与生产环境真实负载的差距</w:t>
      </w:r>
    </w:p>
    <w:p>
      <w:pPr>
        <w:pStyle w:val="FirstParagraph"/>
      </w:pPr>
      <w:r>
        <w:t xml:space="preserve">即使覆盖项也需注意：</w:t>
      </w:r>
    </w:p>
    <w:p>
      <w:pPr>
        <w:numPr>
          <w:ilvl w:val="0"/>
          <w:numId w:val="1044"/>
        </w:numPr>
        <w:pStyle w:val="Compact"/>
      </w:pPr>
      <w:r>
        <w:rPr>
          <w:bCs/>
          <w:b/>
        </w:rPr>
        <w:t xml:space="preserve">Prompt 形态合成性</w:t>
      </w:r>
      <w:r>
        <w:t xml:space="preserve">：AgentX 用合成 prompt 复现真实轨迹，与原始系统 prompt / tool schema 可能存在不同</w:t>
      </w:r>
    </w:p>
    <w:p>
      <w:pPr>
        <w:numPr>
          <w:ilvl w:val="0"/>
          <w:numId w:val="1044"/>
        </w:numPr>
        <w:pStyle w:val="Compact"/>
      </w:pPr>
      <w:r>
        <w:rPr>
          <w:bCs/>
          <w:b/>
        </w:rPr>
        <w:t xml:space="preserve">Prefix cache 复用比例</w:t>
      </w:r>
      <w:r>
        <w:t xml:space="preserve">：生产中常借助 KV cache 跨请求共享，InferenceX 表格中 AgentX 痕迹工作负载自带子智能体拓扑，prefix share 比例已在负载形态内，但</w:t>
      </w:r>
      <w:r>
        <w:rPr>
          <w:bCs/>
          <w:b/>
        </w:rPr>
        <w:t xml:space="preserve">生产侧可独立调优</w:t>
      </w:r>
    </w:p>
    <w:p>
      <w:pPr>
        <w:numPr>
          <w:ilvl w:val="0"/>
          <w:numId w:val="1044"/>
        </w:numPr>
        <w:pStyle w:val="Compact"/>
      </w:pPr>
      <w:r>
        <w:rPr>
          <w:bCs/>
          <w:b/>
        </w:rPr>
        <w:t xml:space="preserve">GPU 共享与多租户</w:t>
      </w:r>
      <w:r>
        <w:t xml:space="preserve">：云厂商使用 MIG / MPS / Time-Slicing 等，页面默认单卡单租户假设</w:t>
      </w:r>
    </w:p>
    <w:p>
      <w:pPr>
        <w:numPr>
          <w:ilvl w:val="0"/>
          <w:numId w:val="1044"/>
        </w:numPr>
        <w:pStyle w:val="Compact"/>
      </w:pPr>
      <w:r>
        <w:rPr>
          <w:bCs/>
          <w:b/>
        </w:rPr>
        <w:t xml:space="preserve">冷启动与排队</w:t>
      </w:r>
      <w:r>
        <w:t xml:space="preserve">：首 token 等待在 TTFT 维度上是关键，但页面</w:t>
      </w:r>
      <w:r>
        <w:rPr>
          <w:bCs/>
          <w:b/>
        </w:rPr>
        <w:t xml:space="preserve">未给出 TTFT 字段</w:t>
      </w:r>
    </w:p>
    <w:p>
      <w:pPr>
        <w:numPr>
          <w:ilvl w:val="0"/>
          <w:numId w:val="1044"/>
        </w:numPr>
        <w:pStyle w:val="Compact"/>
      </w:pPr>
      <w:r>
        <w:rPr>
          <w:bCs/>
          <w:b/>
        </w:rPr>
        <w:t xml:space="preserve">网络与存储</w:t>
      </w:r>
      <w:r>
        <w:t xml:space="preserve">：表格假设 GPU + 高速 NVMe；PCIe 拓扑与存储带宽未在比较项内</w:t>
      </w:r>
    </w:p>
    <w:p>
      <w:pPr>
        <w:numPr>
          <w:ilvl w:val="0"/>
          <w:numId w:val="1044"/>
        </w:numPr>
        <w:pStyle w:val="Compact"/>
      </w:pPr>
      <w:r>
        <w:rPr>
          <w:bCs/>
          <w:b/>
        </w:rPr>
        <w:t xml:space="preserve">多节点扩展</w:t>
      </w:r>
      <w:r>
        <w:t xml:space="preserve">：NVL72 已给出机架级对比，但跨机架（InfiniBand / RoCE）未涉</w:t>
      </w:r>
    </w:p>
    <w:bookmarkEnd w:id="74"/>
    <w:bookmarkStart w:id="75" w:name="中文版页面翻译或数据完整性问题"/>
    <w:p>
      <w:pPr>
        <w:pStyle w:val="Heading3"/>
      </w:pPr>
      <w:r>
        <w:t xml:space="preserve">7.3 中文版页面翻译或数据完整性问题</w:t>
      </w:r>
    </w:p>
    <w:p>
      <w:pPr>
        <w:pStyle w:val="FirstParagraph"/>
      </w:pPr>
      <w:r>
        <w:t xml:space="preserve">通过对比英文首页 / 中文 overview / 中文 about 三页内容，发现以下问题：</w:t>
      </w:r>
    </w:p>
    <w:p>
      <w:pPr>
        <w:numPr>
          <w:ilvl w:val="0"/>
          <w:numId w:val="1045"/>
        </w:numPr>
        <w:pStyle w:val="Compact"/>
      </w:pPr>
      <w:r>
        <w:rPr>
          <w:bCs/>
          <w:b/>
        </w:rPr>
        <w:t xml:space="preserve">导航错位</w:t>
      </w:r>
      <w:r>
        <w:t xml:space="preserve">：英文版导航</w:t>
      </w:r>
      <w:r>
        <w:t xml:space="preserve"> </w:t>
      </w:r>
      <w:r>
        <w:t xml:space="preserve">“</w:t>
      </w:r>
      <w:r>
        <w:t xml:space="preserve">Overview</w:t>
      </w:r>
      <w:r>
        <w:t xml:space="preserve">”</w:t>
      </w:r>
      <w:r>
        <w:t xml:space="preserve"> </w:t>
      </w:r>
      <w:r>
        <w:t xml:space="preserve">与中文版”总览”指向不同页面？中文版顶部导航列出”首页 / AgentX新 / 总览 / 仪表板 / ubenchX / 关于”，当前访问的</w:t>
      </w:r>
      <w:r>
        <w:t xml:space="preserve"> </w:t>
      </w:r>
      <w:r>
        <w:rPr>
          <w:rStyle w:val="VerbatimChar"/>
        </w:rPr>
        <w:t xml:space="preserve">/zh/overview</w:t>
      </w:r>
      <w:r>
        <w:t xml:space="preserve"> </w:t>
      </w:r>
      <w:r>
        <w:t xml:space="preserve">即总览页是 2026 年活跃面板。</w:t>
      </w:r>
    </w:p>
    <w:p>
      <w:pPr>
        <w:numPr>
          <w:ilvl w:val="0"/>
          <w:numId w:val="1045"/>
        </w:numPr>
        <w:pStyle w:val="Compact"/>
      </w:pPr>
      <w:r>
        <w:rPr>
          <w:bCs/>
          <w:b/>
        </w:rPr>
        <w:t xml:space="preserve">缺失术语释义</w:t>
      </w:r>
      <w:r>
        <w:t xml:space="preserve">：tok/s/user、SLO、AgentX、8K/1K 在中文页面</w:t>
      </w:r>
      <w:r>
        <w:rPr>
          <w:bCs/>
          <w:b/>
        </w:rPr>
        <w:t xml:space="preserve">未给出原文定义</w:t>
      </w:r>
      <w:r>
        <w:t xml:space="preserve">，完全依赖读者跨语言经验。新人入门的可读性受限。</w:t>
      </w:r>
    </w:p>
    <w:p>
      <w:pPr>
        <w:numPr>
          <w:ilvl w:val="0"/>
          <w:numId w:val="1045"/>
        </w:numPr>
        <w:pStyle w:val="Compact"/>
      </w:pPr>
      <w:r>
        <w:rPr>
          <w:bCs/>
          <w:b/>
        </w:rPr>
        <w:t xml:space="preserve">缺失单位说明</w:t>
      </w:r>
      <w:r>
        <w:t xml:space="preserve">：每百万总 token 成本的”币种 / 是否含税 / 是否含主机折旧 / 是否含 IDC 折旧”等假定</w:t>
      </w:r>
      <w:r>
        <w:rPr>
          <w:bCs/>
          <w:b/>
        </w:rPr>
        <w:t xml:space="preserve">未在中文版声明</w:t>
      </w:r>
      <w:r>
        <w:t xml:space="preserve">。</w:t>
      </w:r>
      <w:r>
        <w:t xml:space="preserve">“</w:t>
      </w:r>
      <w:r>
        <w:t xml:space="preserve">Market July 2026 Pricing Surveys</w:t>
      </w:r>
      <w:r>
        <w:t xml:space="preserve">”</w:t>
      </w:r>
      <w:r>
        <w:t xml:space="preserve"> </w:t>
      </w:r>
      <w:r>
        <w:t xml:space="preserve">在具体数字中是否包含 spot、reservation、on-demand 折扣也无说明。</w:t>
      </w:r>
    </w:p>
    <w:p>
      <w:pPr>
        <w:numPr>
          <w:ilvl w:val="0"/>
          <w:numId w:val="1045"/>
        </w:numPr>
        <w:pStyle w:val="Compact"/>
      </w:pPr>
      <w:r>
        <w:rPr>
          <w:bCs/>
          <w:b/>
        </w:rPr>
        <w:t xml:space="preserve">MiniMax M3 428B 全行空白</w:t>
      </w:r>
      <w:r>
        <w:t xml:space="preserve">：所有平台在 AgentX 场景下报告”无精确</w:t>
      </w:r>
      <w:r>
        <w:t xml:space="preserve"> </w:t>
      </w:r>
      <w:r>
        <w:t xml:space="preserve">@50</w:t>
      </w:r>
      <w:r>
        <w:t xml:space="preserve"> </w:t>
      </w:r>
      <w:r>
        <w:t xml:space="preserve">结果”——这意味着中文 overview 在该模型上</w:t>
      </w:r>
      <w:r>
        <w:rPr>
          <w:bCs/>
          <w:b/>
        </w:rPr>
        <w:t xml:space="preserve">没有给出任何成本数据</w:t>
      </w:r>
      <w:r>
        <w:t xml:space="preserve">，若用于横向对比是空白行。</w:t>
      </w:r>
    </w:p>
    <w:p>
      <w:pPr>
        <w:numPr>
          <w:ilvl w:val="0"/>
          <w:numId w:val="1045"/>
        </w:numPr>
        <w:pStyle w:val="Compact"/>
      </w:pPr>
      <w:r>
        <w:rPr>
          <w:bCs/>
          <w:b/>
        </w:rPr>
        <w:t xml:space="preserve">中文表述的偶尔不一致</w:t>
      </w:r>
      <w:r>
        <w:t xml:space="preserve">：例如</w:t>
      </w:r>
      <w:r>
        <w:t xml:space="preserve"> </w:t>
      </w:r>
      <w:r>
        <w:t xml:space="preserve">“</w:t>
      </w:r>
      <w:r>
        <w:t xml:space="preserve">8K/1K</w:t>
      </w:r>
      <w:r>
        <w:t xml:space="preserve">”</w:t>
      </w:r>
      <w:r>
        <w:t xml:space="preserve"> </w:t>
      </w:r>
      <w:r>
        <w:t xml:space="preserve">vs</w:t>
      </w:r>
      <w:r>
        <w:t xml:space="preserve"> </w:t>
      </w:r>
      <w:r>
        <w:t xml:space="preserve">“</w:t>
      </w:r>
      <w:r>
        <w:t xml:space="preserve">8K-1K</w:t>
      </w:r>
      <w:r>
        <w:t xml:space="preserve">”</w:t>
      </w:r>
      <w:r>
        <w:t xml:space="preserve"> </w:t>
      </w:r>
      <w:r>
        <w:t xml:space="preserve">共存，语义相同但呈现风格不统一，对首次访问者可能造成阅读摩擦。</w:t>
      </w:r>
    </w:p>
    <w:p>
      <w:r>
        <w:pict>
          <v:rect style="width:0;height:1.5pt" o:hralign="center" o:hrstd="t" o:hr="t"/>
        </w:pict>
      </w:r>
    </w:p>
    <w:bookmarkEnd w:id="75"/>
    <w:bookmarkEnd w:id="76"/>
    <w:bookmarkStart w:id="89" w:name="详情面板点击打开详情信息后看到什么"/>
    <w:p>
      <w:pPr>
        <w:pStyle w:val="Heading2"/>
      </w:pPr>
      <w:r>
        <w:t xml:space="preserve">8. 详情面板（点击”打开详情信息”后看到什么）</w:t>
      </w:r>
    </w:p>
    <w:p>
      <w:pPr>
        <w:pStyle w:val="BlockText"/>
      </w:pPr>
      <w:r>
        <w:t xml:space="preserve">本节是用户追加的”详情解读”专项。中文</w:t>
      </w:r>
      <w:r>
        <w:t xml:space="preserve"> </w:t>
      </w:r>
      <w:r>
        <w:rPr>
          <w:rStyle w:val="VerbatimChar"/>
        </w:rPr>
        <w:t xml:space="preserve">/zh/overview</w:t>
      </w:r>
      <w:r>
        <w:t xml:space="preserve"> </w:t>
      </w:r>
      <w:r>
        <w:t xml:space="preserve">页面表格中每个数字单元格的 **tooltip 都含”打开 X月X日 原始数据仪表板：…</w:t>
      </w:r>
      <w:r>
        <w:t xml:space="preserve">“</w:t>
      </w:r>
      <w:r>
        <w:t xml:space="preserve">** 字样，链接指向该组合的细分仪表板；同时整页提供 6+ 个副视图页面（按模型 / 硬件 / 精度 / 投机解码 / TCO / 历史趋势等维度切分）。本节完整解读这些</w:t>
      </w:r>
      <w:r>
        <w:t xml:space="preserve">”</w:t>
      </w:r>
      <w:r>
        <w:t xml:space="preserve">详情面板”。</w:t>
      </w:r>
    </w:p>
    <w:bookmarkStart w:id="77" w:name="详情信息的两层入口结构"/>
    <w:p>
      <w:pPr>
        <w:pStyle w:val="Heading3"/>
      </w:pPr>
      <w:r>
        <w:t xml:space="preserve">8.1 详情信息的两层入口结构</w:t>
      </w:r>
    </w:p>
    <w:p>
      <w:pPr>
        <w:pStyle w:val="SourceCode"/>
      </w:pPr>
      <w:r>
        <w:rPr>
          <w:rStyle w:val="VerbatimChar"/>
        </w:rPr>
        <w:t xml:space="preserve">中文 /zh/overview 表格</w:t>
      </w:r>
      <w:r>
        <w:br/>
      </w:r>
      <w:r>
        <w:rPr>
          <w:rStyle w:val="VerbatimChar"/>
        </w:rPr>
        <w:t xml:space="preserve">   │</w:t>
      </w:r>
      <w:r>
        <w:br/>
      </w:r>
      <w:r>
        <w:rPr>
          <w:rStyle w:val="VerbatimChar"/>
        </w:rPr>
        <w:t xml:space="preserve">   ├── 单元格悬停 → tooltip 文本 "打开 X月X日 原始数据仪表板：[模型] · [硬件] · [引擎] · [精度] · [规格]"</w:t>
      </w:r>
      <w:r>
        <w:br/>
      </w:r>
      <w:r>
        <w:rPr>
          <w:rStyle w:val="VerbatimChar"/>
        </w:rPr>
        <w:t xml:space="preserve">   │       │</w:t>
      </w:r>
      <w:r>
        <w:br/>
      </w:r>
      <w:r>
        <w:rPr>
          <w:rStyle w:val="VerbatimChar"/>
        </w:rPr>
        <w:t xml:space="preserve">   │       └── 链接形如：</w:t>
      </w:r>
      <w:r>
        <w:br/>
      </w:r>
      <w:r>
        <w:rPr>
          <w:rStyle w:val="VerbatimChar"/>
        </w:rPr>
        <w:t xml:space="preserve">   │           /zh/inference?g_model=&lt;model&gt;&amp;g_rundate=YYYY-MM-DD&amp;g_runid=&lt;id&gt;&amp;i_seq=agentic-traces|8k-1k&amp;i_prec=fp4|fp8&amp;i_metric=y_costh&amp;i_gpus=&lt;gpu&gt;_&lt;engine&gt;&amp;i_spec=mtp|draft_model&amp;i_disagg=single-node|disagg|multi-node&amp;i_optimal=1&amp;i_advlabel=1</w:t>
      </w:r>
      <w:r>
        <w:br/>
      </w:r>
      <w:r>
        <w:rPr>
          <w:rStyle w:val="VerbatimChar"/>
        </w:rPr>
        <w:t xml:space="preserve">   │</w:t>
      </w:r>
      <w:r>
        <w:br/>
      </w:r>
      <w:r>
        <w:rPr>
          <w:rStyle w:val="VerbatimChar"/>
        </w:rPr>
        <w:t xml:space="preserve">   └── 表格外 / 顶部 / 页脚导航 ─┐</w:t>
      </w:r>
      <w:r>
        <w:br/>
      </w:r>
      <w:r>
        <w:rPr>
          <w:rStyle w:val="VerbatimChar"/>
        </w:rPr>
        <w:t xml:space="preserve">                                  ├── /zh/inference/agentic        AgentX 遥测数据（按模型分组卡片网格）</w:t>
      </w:r>
      <w:r>
        <w:br/>
      </w:r>
      <w:r>
        <w:rPr>
          <w:rStyle w:val="VerbatimChar"/>
        </w:rPr>
        <w:t xml:space="preserve">                                  ├── /zh/cache-reuse              前缀缓存复用（配置式 UI）</w:t>
      </w:r>
      <w:r>
        <w:br/>
      </w:r>
      <w:r>
        <w:rPr>
          <w:rStyle w:val="VerbatimChar"/>
        </w:rPr>
        <w:t xml:space="preserve">                                  ├── /zh/compare                  性能对比（365 组 A vs B 卡片）</w:t>
      </w:r>
      <w:r>
        <w:br/>
      </w:r>
      <w:r>
        <w:rPr>
          <w:rStyle w:val="VerbatimChar"/>
        </w:rPr>
        <w:t xml:space="preserve">                                  ├── /zh/compare-precision        精度对比（42 组 FP4/FP8/BF16/INT4）</w:t>
      </w:r>
      <w:r>
        <w:br/>
      </w:r>
      <w:r>
        <w:rPr>
          <w:rStyle w:val="VerbatimChar"/>
        </w:rPr>
        <w:t xml:space="preserve">                                  ├── /zh/compare-spec-decode      投机解码对比（64 组 MTP/DSpark/M3 EAGLE/none）</w:t>
      </w:r>
      <w:r>
        <w:br/>
      </w:r>
      <w:r>
        <w:rPr>
          <w:rStyle w:val="VerbatimChar"/>
        </w:rPr>
        <w:t xml:space="preserve">                                  ├── /zh/compare-per-dollar       芯片每美元性能对比</w:t>
      </w:r>
      <w:r>
        <w:br/>
      </w:r>
      <w:r>
        <w:rPr>
          <w:rStyle w:val="VerbatimChar"/>
        </w:rPr>
        <w:t xml:space="preserve">                                  ├── /zh/historical               历史趋势（仅已弃用模型）</w:t>
      </w:r>
      <w:r>
        <w:br/>
      </w:r>
      <w:r>
        <w:rPr>
          <w:rStyle w:val="VerbatimChar"/>
        </w:rPr>
        <w:t xml:space="preserve">                                  ├── /zh/calculator               吞吐量与 TCO 计算器</w:t>
      </w:r>
      <w:r>
        <w:br/>
      </w:r>
      <w:r>
        <w:rPr>
          <w:rStyle w:val="VerbatimChar"/>
        </w:rPr>
        <w:t xml:space="preserve">                                  └── /zh/profit-estimator-per-gigawatt   每吉瓦推理利润估算器</w:t>
      </w:r>
    </w:p>
    <w:p>
      <w:pPr>
        <w:pStyle w:val="FirstParagraph"/>
      </w:pPr>
      <w:r>
        <w:rPr>
          <w:bCs/>
          <w:b/>
        </w:rPr>
        <w:t xml:space="preserve">结构要点</w:t>
      </w:r>
      <w:r>
        <w:t xml:space="preserve">：</w:t>
      </w:r>
    </w:p>
    <w:p>
      <w:pPr>
        <w:numPr>
          <w:ilvl w:val="0"/>
          <w:numId w:val="1046"/>
        </w:numPr>
        <w:pStyle w:val="Compact"/>
      </w:pPr>
      <w:r>
        <w:rPr>
          <w:bCs/>
          <w:b/>
        </w:rPr>
        <w:t xml:space="preserve">单元格级详情</w:t>
      </w:r>
      <w:r>
        <w:t xml:space="preserve">指向单个 (model × hardware × engine × precision × spec) 组合的</w:t>
      </w:r>
      <w:r>
        <w:rPr>
          <w:bCs/>
          <w:b/>
        </w:rPr>
        <w:t xml:space="preserve">单次 benchmark run</w:t>
      </w:r>
      <w:r>
        <w:t xml:space="preserve">，URL 含</w:t>
      </w:r>
      <w:r>
        <w:t xml:space="preserve"> </w:t>
      </w:r>
      <w:r>
        <w:rPr>
          <w:rStyle w:val="VerbatimChar"/>
        </w:rPr>
        <w:t xml:space="preserve">g_rundate</w:t>
      </w:r>
      <w:r>
        <w:t xml:space="preserve"> </w:t>
      </w:r>
      <w:r>
        <w:t xml:space="preserve">与</w:t>
      </w:r>
      <w:r>
        <w:t xml:space="preserve"> </w:t>
      </w:r>
      <w:r>
        <w:rPr>
          <w:rStyle w:val="VerbatimChar"/>
        </w:rPr>
        <w:t xml:space="preserve">g_runid</w:t>
      </w:r>
      <w:r>
        <w:t xml:space="preserve">，是”原子级”的对照记录</w:t>
      </w:r>
    </w:p>
    <w:p>
      <w:pPr>
        <w:numPr>
          <w:ilvl w:val="0"/>
          <w:numId w:val="1046"/>
        </w:numPr>
        <w:pStyle w:val="Compact"/>
      </w:pPr>
      <w:r>
        <w:rPr>
          <w:bCs/>
          <w:b/>
        </w:rPr>
        <w:t xml:space="preserve">页脚级副视图</w:t>
      </w:r>
      <w:r>
        <w:t xml:space="preserve">按”对比维度”分类：硬件 × 硬件、精度 × 精度、是否投机解码、每美元性能、TCO、吉瓦利润</w:t>
      </w:r>
    </w:p>
    <w:p>
      <w:pPr>
        <w:numPr>
          <w:ilvl w:val="0"/>
          <w:numId w:val="1046"/>
        </w:numPr>
        <w:pStyle w:val="Compact"/>
      </w:pPr>
      <w:r>
        <w:t xml:space="preserve">两个层级互相补：单元格级看一次跑的具体数字，副视图看跨组合汇总</w:t>
      </w:r>
    </w:p>
    <w:bookmarkEnd w:id="77"/>
    <w:bookmarkStart w:id="78" w:name="Xf95f6fda72decae31cec0bffff73989ab2019db"/>
    <w:p>
      <w:pPr>
        <w:pStyle w:val="Heading3"/>
      </w:pPr>
      <w:r>
        <w:t xml:space="preserve">8.2 /zh/inference/agentic ——</w:t>
      </w:r>
      <w:r>
        <w:t xml:space="preserve"> </w:t>
      </w:r>
      <w:r>
        <w:t xml:space="preserve">“</w:t>
      </w:r>
      <w:r>
        <w:t xml:space="preserve">AgentX 遥测数据</w:t>
      </w:r>
      <w:r>
        <w:t xml:space="preserve">”</w:t>
      </w:r>
      <w:r>
        <w:t xml:space="preserve">详情面板（最关键的一张图）</w:t>
      </w:r>
    </w:p>
    <w:p>
      <w:pPr>
        <w:pStyle w:val="FirstParagraph"/>
      </w:pPr>
      <w:r>
        <w:rPr>
          <w:bCs/>
          <w:b/>
        </w:rPr>
        <w:t xml:space="preserve">页面原文摘要</w:t>
      </w:r>
      <w:r>
        <w:t xml:space="preserve">：</w:t>
      </w:r>
    </w:p>
    <w:p>
      <w:pPr>
        <w:numPr>
          <w:ilvl w:val="0"/>
          <w:numId w:val="1047"/>
        </w:numPr>
        <w:pStyle w:val="Compact"/>
      </w:pPr>
      <w:r>
        <w:t xml:space="preserve">页面标题：</w:t>
      </w:r>
      <w:r>
        <w:t xml:space="preserve">“</w:t>
      </w:r>
      <w:r>
        <w:t xml:space="preserve">AgentX 遥测数据 | InferenceX by SemiAnalysis</w:t>
      </w:r>
      <w:r>
        <w:t xml:space="preserve">”</w:t>
      </w:r>
    </w:p>
    <w:p>
      <w:pPr>
        <w:numPr>
          <w:ilvl w:val="0"/>
          <w:numId w:val="1047"/>
        </w:numPr>
        <w:pStyle w:val="Compact"/>
      </w:pPr>
      <w:r>
        <w:t xml:space="preserve">页面顶部声明：「覆盖 9 个模型的 90 种推理服务配置，共</w:t>
      </w:r>
      <w:r>
        <w:t xml:space="preserve"> </w:t>
      </w:r>
      <w:r>
        <w:rPr>
          <w:bCs/>
          <w:b/>
        </w:rPr>
        <w:t xml:space="preserve">2,990</w:t>
      </w:r>
      <w:r>
        <w:t xml:space="preserve"> </w:t>
      </w:r>
      <w:r>
        <w:t xml:space="preserve">个带有逐请求遥测数据的基准测试数据点」</w:t>
      </w:r>
    </w:p>
    <w:p>
      <w:pPr>
        <w:numPr>
          <w:ilvl w:val="0"/>
          <w:numId w:val="1047"/>
        </w:numPr>
        <w:pStyle w:val="Compact"/>
      </w:pPr>
      <w:r>
        <w:t xml:space="preserve">副结构：「11 种单点视图、3 个回放阶段、2 条曲线（每个 model、SKU 与引擎组合）、1 张单点遥测图表」</w:t>
      </w:r>
    </w:p>
    <w:p>
      <w:pPr>
        <w:numPr>
          <w:ilvl w:val="0"/>
          <w:numId w:val="1047"/>
        </w:numPr>
        <w:pStyle w:val="Compact"/>
      </w:pPr>
      <w:r>
        <w:t xml:space="preserve">每张卡片显示：配置数、数据点数、并发范围、采集日期</w:t>
      </w:r>
    </w:p>
    <w:p>
      <w:pPr>
        <w:pStyle w:val="FirstParagraph"/>
      </w:pPr>
      <w:r>
        <w:rPr>
          <w:bCs/>
          <w:b/>
        </w:rPr>
        <w:t xml:space="preserve">正文以”模型分组 → 配置卡片网格”组织。卡片典型示例</w:t>
      </w:r>
      <w:r>
        <w:t xml:space="preserve">：</w:t>
      </w:r>
    </w:p>
    <w:p>
      <w:pPr>
        <w:numPr>
          <w:ilvl w:val="0"/>
          <w:numId w:val="1048"/>
        </w:numPr>
        <w:pStyle w:val="Compact"/>
      </w:pPr>
      <w:r>
        <w:t xml:space="preserve">“</w:t>
      </w:r>
      <w:r>
        <w:t xml:space="preserve">8 个数据点 · 并发 1–256 · 2026-10-08</w:t>
      </w:r>
      <w:r>
        <w:t xml:space="preserve">”</w:t>
      </w:r>
    </w:p>
    <w:p>
      <w:pPr>
        <w:numPr>
          <w:ilvl w:val="0"/>
          <w:numId w:val="1048"/>
        </w:numPr>
        <w:pStyle w:val="Compact"/>
      </w:pPr>
      <w:r>
        <w:t xml:space="preserve">“</w:t>
      </w:r>
      <w:r>
        <w:t xml:space="preserve">48 个数据点 · 并发 1–128 · 2026-10-09</w:t>
      </w:r>
      <w:r>
        <w:t xml:space="preserve">”</w:t>
      </w:r>
    </w:p>
    <w:p>
      <w:pPr>
        <w:numPr>
          <w:ilvl w:val="0"/>
          <w:numId w:val="1048"/>
        </w:numPr>
        <w:pStyle w:val="Compact"/>
      </w:pPr>
      <w:r>
        <w:t xml:space="preserve">“</w:t>
      </w:r>
      <w:r>
        <w:t xml:space="preserve">7 个数据点 · 并发 6–2934 · 2026-10-05</w:t>
      </w:r>
      <w:r>
        <w:t xml:space="preserve">”</w:t>
      </w:r>
      <w:r>
        <w:t xml:space="preserve">（</w:t>
      </w:r>
      <w:r>
        <w:rPr>
          <w:bCs/>
          <w:b/>
        </w:rPr>
        <w:t xml:space="preserve">最高并发 2934</w:t>
      </w:r>
      <w:r>
        <w:t xml:space="preserve">，可能是 DeepSeek V4 Pro NVL72）</w:t>
      </w:r>
    </w:p>
    <w:p>
      <w:pPr>
        <w:numPr>
          <w:ilvl w:val="0"/>
          <w:numId w:val="1048"/>
        </w:numPr>
        <w:pStyle w:val="Compact"/>
      </w:pPr>
      <w:r>
        <w:t xml:space="preserve">“</w:t>
      </w:r>
      <w:r>
        <w:t xml:space="preserve">35 个数据点 · 并发 1–74 · 2026-09-15</w:t>
      </w:r>
      <w:r>
        <w:t xml:space="preserve">”</w:t>
      </w:r>
    </w:p>
    <w:p>
      <w:pPr>
        <w:numPr>
          <w:ilvl w:val="0"/>
          <w:numId w:val="1048"/>
        </w:numPr>
        <w:pStyle w:val="Compact"/>
      </w:pPr>
      <w:r>
        <w:t xml:space="preserve">“</w:t>
      </w:r>
      <w:r>
        <w:t xml:space="preserve">5 个数据点 · 并发 1–16 · 2026-08-27</w:t>
      </w:r>
      <w:r>
        <w:t xml:space="preserve">”</w:t>
      </w:r>
    </w:p>
    <w:p>
      <w:pPr>
        <w:numPr>
          <w:ilvl w:val="0"/>
          <w:numId w:val="1048"/>
        </w:numPr>
        <w:pStyle w:val="Compact"/>
      </w:pPr>
      <w:r>
        <w:t xml:space="preserve">“</w:t>
      </w:r>
      <w:r>
        <w:t xml:space="preserve">3 个数据点 · 并发 1–1 · 2026-10-07</w:t>
      </w:r>
      <w:r>
        <w:t xml:space="preserve">”</w:t>
      </w:r>
    </w:p>
    <w:p>
      <w:pPr>
        <w:pStyle w:val="FirstParagraph"/>
      </w:pPr>
      <w:r>
        <w:rPr>
          <w:bCs/>
          <w:b/>
        </w:rPr>
        <w:t xml:space="preserve">模型配置全表</w:t>
      </w:r>
      <w:r>
        <w:t xml:space="preserve">（页面直接给出，未外推）：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模型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配置数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数据点数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DeepSeek V4.1 Flash 552B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DeepSeek V4 Pro 0813 1.6T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666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Qwen 3.5 397B-A17B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MiniMax M3 428B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GLM 5.3 744B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Kimi K3 2.8T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Qwen 3.8 Flash Next 176B-A6B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GLM 5.3 744B (TileRT)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GLM 5/5.1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合计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90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2,990</w:t>
            </w:r>
          </w:p>
        </w:tc>
      </w:tr>
    </w:tbl>
    <w:p>
      <w:pPr>
        <w:pStyle w:val="BodyText"/>
      </w:pPr>
      <w:r>
        <w:rPr>
          <w:bCs/>
          <w:b/>
        </w:rPr>
        <w:t xml:space="preserve">GPU / 引擎 / 精度全集</w:t>
      </w:r>
      <w:r>
        <w:t xml:space="preserve">（从卡片分类标签提取）：</w:t>
      </w:r>
    </w:p>
    <w:p>
      <w:pPr>
        <w:numPr>
          <w:ilvl w:val="0"/>
          <w:numId w:val="1049"/>
        </w:numPr>
        <w:pStyle w:val="Compact"/>
      </w:pPr>
      <w:r>
        <w:t xml:space="preserve">GPU: GB300 NVL72、GB200 NVL72、Vera Rubin NVL72、B300、B200、MI355X、H200、MI325X、H100、MI300X</w:t>
      </w:r>
    </w:p>
    <w:p>
      <w:pPr>
        <w:numPr>
          <w:ilvl w:val="0"/>
          <w:numId w:val="1049"/>
        </w:numPr>
        <w:pStyle w:val="Compact"/>
      </w:pPr>
      <w:r>
        <w:t xml:space="preserve">引擎: Dynamo SGLang、Dynamo TRTLLM、Dynamo vLLM、SGLang、vLLM、TRTLLM、ATOM、MoRI SGLang、Mooncake ATOMesh、TileRT</w:t>
      </w:r>
    </w:p>
    <w:p>
      <w:pPr>
        <w:numPr>
          <w:ilvl w:val="0"/>
          <w:numId w:val="1049"/>
        </w:numPr>
        <w:pStyle w:val="Compact"/>
      </w:pPr>
      <w:r>
        <w:t xml:space="preserve">精度: FP4、FP8</w:t>
      </w:r>
    </w:p>
    <w:p>
      <w:pPr>
        <w:pStyle w:val="FirstParagraph"/>
      </w:pPr>
      <w:r>
        <w:rPr>
          <w:bCs/>
          <w:b/>
        </w:rPr>
        <w:t xml:space="preserve">专业解读</w:t>
      </w:r>
      <w:r>
        <w:t xml:space="preserve">：</w:t>
      </w:r>
    </w:p>
    <w:p>
      <w:pPr>
        <w:numPr>
          <w:ilvl w:val="0"/>
          <w:numId w:val="1050"/>
        </w:numPr>
        <w:pStyle w:val="Compact"/>
      </w:pPr>
      <w:r>
        <w:rPr>
          <w:bCs/>
          <w:b/>
        </w:rPr>
        <w:t xml:space="preserve">2,990 个数据点的样本规模</w:t>
      </w:r>
      <w:r>
        <w:t xml:space="preserve">：这是页面声称的”逐请求遥测数据点”总数。结合页面 §2.3 提到”900 秒最小运行、1800 秒默认运行”，可以推断</w:t>
      </w:r>
      <w:r>
        <w:rPr>
          <w:bCs/>
          <w:b/>
        </w:rPr>
        <w:t xml:space="preserve">单个数据点约对应一次 batch / 一次请求在固定并发下的快照</w:t>
      </w:r>
      <w:r>
        <w:t xml:space="preserve">——意味着每个组合的 benchmark 资源开销都很大</w:t>
      </w:r>
    </w:p>
    <w:p>
      <w:pPr>
        <w:numPr>
          <w:ilvl w:val="0"/>
          <w:numId w:val="1050"/>
        </w:numPr>
        <w:pStyle w:val="Compact"/>
      </w:pPr>
      <w:r>
        <w:rPr>
          <w:bCs/>
          <w:b/>
        </w:rPr>
        <w:t xml:space="preserve">3 个回放阶段（replay stages）</w:t>
      </w:r>
      <w:r>
        <w:t xml:space="preserve">：副结构中提到，但页面未明确定义每个阶段做什么。基于 AgentX 上下文，最可能对应：原始 trace 回放 → prefix cache 预热 → 持续负载 → 三阶段分别采样</w:t>
      </w:r>
    </w:p>
    <w:p>
      <w:pPr>
        <w:numPr>
          <w:ilvl w:val="0"/>
          <w:numId w:val="1050"/>
        </w:numPr>
        <w:pStyle w:val="Compact"/>
      </w:pPr>
      <w:r>
        <w:rPr>
          <w:bCs/>
          <w:b/>
        </w:rPr>
        <w:t xml:space="preserve">覆盖率与优先级</w:t>
      </w:r>
      <w:r>
        <w:t xml:space="preserve">：从 90 配置中 DeepSeek V4.1 Flash（18）与 DeepSeek V4 Pro（17）领先，反映 SemiAnalysis 当前重点覆盖 DeepSeek 体系；MiniMax M3 拿到 13 配置但数据显示全平台无</w:t>
      </w:r>
      <w:r>
        <w:t xml:space="preserve"> </w:t>
      </w:r>
      <w:r>
        <w:t xml:space="preserve">@50</w:t>
      </w:r>
      <w:r>
        <w:t xml:space="preserve"> </w:t>
      </w:r>
      <w:r>
        <w:t xml:space="preserve">结果——说明工作量放在”试跑”而非”达标”</w:t>
      </w:r>
    </w:p>
    <w:p>
      <w:pPr>
        <w:numPr>
          <w:ilvl w:val="0"/>
          <w:numId w:val="1050"/>
        </w:numPr>
        <w:pStyle w:val="Compact"/>
      </w:pPr>
      <w:r>
        <w:rPr>
          <w:bCs/>
          <w:b/>
        </w:rPr>
        <w:t xml:space="preserve">最高并发 2934</w:t>
      </w:r>
      <w:r>
        <w:t xml:space="preserve">：远超 H100 时代常见的 256 上限，几乎肯定是 GB300 NVL72 跑 DeepSeek V4 Pro 1.6T 的形态——验证 NVL72 在极限并发下的可观性</w:t>
      </w:r>
    </w:p>
    <w:p>
      <w:pPr>
        <w:numPr>
          <w:ilvl w:val="0"/>
          <w:numId w:val="1050"/>
        </w:numPr>
        <w:pStyle w:val="Compact"/>
      </w:pPr>
      <w:r>
        <w:rPr>
          <w:bCs/>
          <w:b/>
        </w:rPr>
        <w:t xml:space="preserve">Kimi K3 2.8T 配置数（7）最少</w:t>
      </w:r>
      <w:r>
        <w:t xml:space="preserve">：但数据点数 297，单配置平均 42 点——说明 Kimi 跑了大量单点上的服务包络线扫描。这与 §5.2”Kimi 是最难伺候模型”的发现一致：在每个组合上都需要更密集的扫描以找到 SLO 最优点</w:t>
      </w:r>
    </w:p>
    <w:bookmarkEnd w:id="78"/>
    <w:bookmarkStart w:id="79" w:name="zhcompare-性能对比详情面板365-组-a-vs-b"/>
    <w:p>
      <w:pPr>
        <w:pStyle w:val="Heading3"/>
      </w:pPr>
      <w:r>
        <w:t xml:space="preserve">8.3 /zh/compare ——</w:t>
      </w:r>
      <w:r>
        <w:t xml:space="preserve"> </w:t>
      </w:r>
      <w:r>
        <w:t xml:space="preserve">“</w:t>
      </w:r>
      <w:r>
        <w:t xml:space="preserve">性能对比</w:t>
      </w:r>
      <w:r>
        <w:t xml:space="preserve">”</w:t>
      </w:r>
      <w:r>
        <w:t xml:space="preserve">详情面板（365 组 A vs B）</w:t>
      </w:r>
    </w:p>
    <w:p>
      <w:pPr>
        <w:pStyle w:val="FirstParagraph"/>
      </w:pPr>
      <w:r>
        <w:rPr>
          <w:bCs/>
          <w:b/>
        </w:rPr>
        <w:t xml:space="preserve">页面原文摘要</w:t>
      </w:r>
      <w:r>
        <w:t xml:space="preserve">：</w:t>
      </w:r>
    </w:p>
    <w:p>
      <w:pPr>
        <w:numPr>
          <w:ilvl w:val="0"/>
          <w:numId w:val="1051"/>
        </w:numPr>
        <w:pStyle w:val="Compact"/>
      </w:pPr>
      <w:r>
        <w:t xml:space="preserve">页面标题：</w:t>
      </w:r>
      <w:r>
        <w:t xml:space="preserve">“</w:t>
      </w:r>
      <w:r>
        <w:t xml:space="preserve">AgentX 智能体推理对比 | InferenceX by SemiAnalysis</w:t>
      </w:r>
      <w:r>
        <w:t xml:space="preserve">”</w:t>
      </w:r>
    </w:p>
    <w:p>
      <w:pPr>
        <w:numPr>
          <w:ilvl w:val="0"/>
          <w:numId w:val="1051"/>
        </w:numPr>
        <w:pStyle w:val="Compact"/>
      </w:pPr>
      <w:r>
        <w:t xml:space="preserve">页面声明：「共 365 组对比组合」</w:t>
      </w:r>
    </w:p>
    <w:p>
      <w:pPr>
        <w:numPr>
          <w:ilvl w:val="0"/>
          <w:numId w:val="1051"/>
        </w:numPr>
        <w:pStyle w:val="Compact"/>
      </w:pPr>
      <w:r>
        <w:t xml:space="preserve">卡片只显示：[芯片 A] 与 [芯片 B]（含两家 logo）、场景标签（AgentX / 8K/1K）、架构标注（如 Blackwell · CDNA 4）</w:t>
      </w:r>
    </w:p>
    <w:p>
      <w:pPr>
        <w:pStyle w:val="FirstParagraph"/>
      </w:pPr>
      <w:r>
        <w:rPr>
          <w:bCs/>
          <w:b/>
        </w:rPr>
        <w:t xml:space="preserve">按模型分组的对比组合数（页面直接给出，未外推）</w:t>
      </w:r>
      <w:r>
        <w:t xml:space="preserve">：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模型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场景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对比组数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DeepSeek V4 Pro 0813 1.6T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AgentX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DeepSeek V4.1 Flash 552B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AgentX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DeepSeek R1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8K/1K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Kimi K3 2.8T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AgentX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Kimi K2.5/K2.6/K2.7-Code 1T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8K/1K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40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GLM 5/5.1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8K/1K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GLM 5.3 744B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AgentX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MiniMax M3 428B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AgentX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63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MiniMax M2.5/M2.7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8K/1K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48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Qwen 3.8 Flash Next 176B-A6B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AgentX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Qwen 3.5 397B-A17B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AgentX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63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gpt-oss 120B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8K/1K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Llama 3.3 70B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8K/1K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合计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365</w:t>
            </w:r>
          </w:p>
        </w:tc>
      </w:tr>
    </w:tbl>
    <w:p>
      <w:pPr>
        <w:pStyle w:val="BodyText"/>
      </w:pPr>
      <w:r>
        <w:rPr>
          <w:bCs/>
          <w:b/>
        </w:rPr>
        <w:t xml:space="preserve">卡片 URL 模式</w:t>
      </w:r>
      <w:r>
        <w:t xml:space="preserve">：</w:t>
      </w:r>
      <w:r>
        <w:t xml:space="preserve">/zh/compare/&lt;model-slug&gt;-&lt;chipA&gt;-vs-&lt;chipB&gt;/&lt;scenario&gt;</w:t>
      </w:r>
    </w:p>
    <w:p>
      <w:pPr>
        <w:pStyle w:val="BodyText"/>
      </w:pPr>
      <w:r>
        <w:t xml:space="preserve">示例：</w:t>
      </w:r>
    </w:p>
    <w:p>
      <w:pPr>
        <w:numPr>
          <w:ilvl w:val="0"/>
          <w:numId w:val="1052"/>
        </w:numPr>
        <w:pStyle w:val="Compact"/>
      </w:pPr>
      <w:r>
        <w:rPr>
          <w:rStyle w:val="VerbatimChar"/>
        </w:rPr>
        <w:t xml:space="preserve">/zh/compare/deepseek-v4-b200-vs-mi355x/agentic</w:t>
      </w:r>
    </w:p>
    <w:p>
      <w:pPr>
        <w:numPr>
          <w:ilvl w:val="0"/>
          <w:numId w:val="1052"/>
        </w:numPr>
        <w:pStyle w:val="Compact"/>
      </w:pPr>
      <w:r>
        <w:rPr>
          <w:rStyle w:val="VerbatimChar"/>
        </w:rPr>
        <w:t xml:space="preserve">/zh/compare/minimax-m3-gb300-vs-h200/agentic</w:t>
      </w:r>
    </w:p>
    <w:p>
      <w:pPr>
        <w:numPr>
          <w:ilvl w:val="0"/>
          <w:numId w:val="1052"/>
        </w:numPr>
        <w:pStyle w:val="Compact"/>
      </w:pPr>
      <w:r>
        <w:rPr>
          <w:rStyle w:val="VerbatimChar"/>
        </w:rPr>
        <w:t xml:space="preserve">/zh/compare/llama-3-3-70b-h200-vs-mgw200/8k-1k</w:t>
      </w:r>
    </w:p>
    <w:p>
      <w:pPr>
        <w:pStyle w:val="FirstParagraph"/>
      </w:pPr>
      <w:r>
        <w:rPr>
          <w:bCs/>
          <w:b/>
        </w:rPr>
        <w:t xml:space="preserve">未出现</w:t>
      </w:r>
      <w:r>
        <w:t xml:space="preserve">（顶部介绍中提及但卡片里未列出）：</w:t>
      </w:r>
    </w:p>
    <w:p>
      <w:pPr>
        <w:numPr>
          <w:ilvl w:val="0"/>
          <w:numId w:val="1053"/>
        </w:numPr>
        <w:pStyle w:val="Compact"/>
      </w:pPr>
      <w:r>
        <w:t xml:space="preserve">Rubin vs MI455X UALoE72</w:t>
      </w:r>
    </w:p>
    <w:p>
      <w:pPr>
        <w:numPr>
          <w:ilvl w:val="0"/>
          <w:numId w:val="1053"/>
        </w:numPr>
        <w:pStyle w:val="Compact"/>
      </w:pPr>
      <w:r>
        <w:t xml:space="preserve">TPUv8i vs MI455X UALoE72</w:t>
      </w:r>
    </w:p>
    <w:p>
      <w:pPr>
        <w:numPr>
          <w:ilvl w:val="0"/>
          <w:numId w:val="1053"/>
        </w:numPr>
        <w:pStyle w:val="Compact"/>
      </w:pPr>
      <w:r>
        <w:t xml:space="preserve">SambaNova SN50</w:t>
      </w:r>
    </w:p>
    <w:p>
      <w:pPr>
        <w:numPr>
          <w:ilvl w:val="0"/>
          <w:numId w:val="1053"/>
        </w:numPr>
        <w:pStyle w:val="Compact"/>
      </w:pPr>
      <w:r>
        <w:t xml:space="preserve">OpenAI Jalapeño</w:t>
      </w:r>
    </w:p>
    <w:p>
      <w:pPr>
        <w:pStyle w:val="FirstParagraph"/>
      </w:pPr>
      <w:r>
        <w:t xml:space="preserve">→ 这意味着本对比面板</w:t>
      </w:r>
      <w:r>
        <w:rPr>
          <w:bCs/>
          <w:b/>
        </w:rPr>
        <w:t xml:space="preserve">仅覆盖已能跑出数字的硬件组合</w:t>
      </w:r>
      <w:r>
        <w:t xml:space="preserve">；未来硬件未进入对比体系。</w:t>
      </w:r>
    </w:p>
    <w:p>
      <w:pPr>
        <w:pStyle w:val="BodyText"/>
      </w:pPr>
      <w:r>
        <w:rPr>
          <w:bCs/>
          <w:b/>
        </w:rPr>
        <w:t xml:space="preserve">专业解读</w:t>
      </w:r>
      <w:r>
        <w:t xml:space="preserve">：</w:t>
      </w:r>
    </w:p>
    <w:p>
      <w:pPr>
        <w:numPr>
          <w:ilvl w:val="0"/>
          <w:numId w:val="1054"/>
        </w:numPr>
        <w:pStyle w:val="Compact"/>
      </w:pPr>
      <w:r>
        <w:rPr>
          <w:bCs/>
          <w:b/>
        </w:rPr>
        <w:t xml:space="preserve">365 组细分到哪个粒度</w:t>
      </w:r>
      <w:r>
        <w:t xml:space="preserve">：每张卡片对应一对硬件组合（如 B200 vs MI355X）在一个模型、一个场景下的所有引擎/精度变体的对比。这意味着从单张卡片进去可能看到 5-20 条变体</w:t>
      </w:r>
    </w:p>
    <w:p>
      <w:pPr>
        <w:numPr>
          <w:ilvl w:val="0"/>
          <w:numId w:val="1054"/>
        </w:numPr>
        <w:pStyle w:val="Compact"/>
      </w:pPr>
      <w:r>
        <w:rPr>
          <w:bCs/>
          <w:b/>
        </w:rPr>
        <w:t xml:space="preserve">“</w:t>
      </w:r>
      <w:r>
        <w:rPr>
          <w:bCs/>
          <w:b/>
        </w:rPr>
        <w:t xml:space="preserve">对比历史趋势</w:t>
      </w:r>
      <w:r>
        <w:rPr>
          <w:bCs/>
          <w:b/>
        </w:rPr>
        <w:t xml:space="preserve">”</w:t>
      </w:r>
      <w:r>
        <w:rPr>
          <w:bCs/>
          <w:b/>
        </w:rPr>
        <w:t xml:space="preserve">按钮</w:t>
      </w:r>
      <w:r>
        <w:t xml:space="preserve">：表明卡片级有 30 天滚动记录，可追踪”两个硬件的成本差距在收敛还是扩大”</w:t>
      </w:r>
    </w:p>
    <w:p>
      <w:pPr>
        <w:numPr>
          <w:ilvl w:val="0"/>
          <w:numId w:val="1054"/>
        </w:numPr>
        <w:pStyle w:val="Compact"/>
      </w:pPr>
      <w:r>
        <w:rPr>
          <w:bCs/>
          <w:b/>
        </w:rPr>
        <w:t xml:space="preserve">MiniMax M3 拿到 63 组最多组合</w:t>
      </w:r>
      <w:r>
        <w:t xml:space="preserve">：与 §8.2 中”MiniMax M3 全部无</w:t>
      </w:r>
      <w:r>
        <w:t xml:space="preserve"> </w:t>
      </w:r>
      <w:r>
        <w:t xml:space="preserve">@50</w:t>
      </w:r>
      <w:r>
        <w:t xml:space="preserve"> </w:t>
      </w:r>
      <w:r>
        <w:t xml:space="preserve">结果”形成对比——MiniMax 在比对面板有大量组合但都”未达标”。如果选型需依赖</w:t>
      </w:r>
      <w:r>
        <w:t xml:space="preserve"> </w:t>
      </w:r>
      <w:r>
        <w:t xml:space="preserve">@50</w:t>
      </w:r>
      <w:r>
        <w:t xml:space="preserve">，</w:t>
      </w:r>
      <w:r>
        <w:rPr>
          <w:bCs/>
          <w:b/>
        </w:rPr>
        <w:t xml:space="preserve">MiniMax M3 在两个上下文（成本表 + 对比组合）中均显示不成熟</w:t>
      </w:r>
    </w:p>
    <w:p>
      <w:pPr>
        <w:numPr>
          <w:ilvl w:val="0"/>
          <w:numId w:val="1054"/>
        </w:numPr>
        <w:pStyle w:val="Compact"/>
      </w:pPr>
      <w:r>
        <w:rPr>
          <w:bCs/>
          <w:b/>
        </w:rPr>
        <w:t xml:space="preserve">覆盖场景仅 2 种</w:t>
      </w:r>
      <w:r>
        <w:t xml:space="preserve">（AgentX / 8K/1K）：没有 1k/1k、1k/8k 单独面板。这印证 §3.4：overview 页固定序列只展示 8k/1k；但 about 页提到的 1k/1k 与 1k/8k 应当存在于其他视图</w:t>
      </w:r>
    </w:p>
    <w:p>
      <w:pPr>
        <w:numPr>
          <w:ilvl w:val="0"/>
          <w:numId w:val="1054"/>
        </w:numPr>
        <w:pStyle w:val="Compact"/>
      </w:pPr>
      <w:r>
        <w:rPr>
          <w:bCs/>
          <w:b/>
        </w:rPr>
        <w:t xml:space="preserve">NVIDIA 内部对比组数多于跨厂商</w:t>
      </w:r>
      <w:r>
        <w:t xml:space="preserve">：同一模型下 NVIDIA vs AMD 通常 8-12 组，NVIDIA 内部互比可达 16-21 组（5 卡 × 5 卡 / 2）。如果聚焦”NVIDIA 内部代际差”，这个对比深度高于跨厂商对比</w:t>
      </w:r>
    </w:p>
    <w:bookmarkEnd w:id="79"/>
    <w:bookmarkStart w:id="80" w:name="X8986a17083234ff24acba5b665c134368103d12"/>
    <w:p>
      <w:pPr>
        <w:pStyle w:val="Heading3"/>
      </w:pPr>
      <w:r>
        <w:t xml:space="preserve">8.4 /zh/compare-precision ——</w:t>
      </w:r>
      <w:r>
        <w:t xml:space="preserve"> </w:t>
      </w:r>
      <w:r>
        <w:t xml:space="preserve">“</w:t>
      </w:r>
      <w:r>
        <w:t xml:space="preserve">芯片精度对比</w:t>
      </w:r>
      <w:r>
        <w:t xml:space="preserve">”</w:t>
      </w:r>
      <w:r>
        <w:t xml:space="preserve">详情面板（42 组 FP4/FP8/BF16/INT4）</w:t>
      </w:r>
    </w:p>
    <w:p>
      <w:pPr>
        <w:pStyle w:val="FirstParagraph"/>
      </w:pPr>
      <w:r>
        <w:rPr>
          <w:bCs/>
          <w:b/>
        </w:rPr>
        <w:t xml:space="preserve">页面原文摘要</w:t>
      </w:r>
      <w:r>
        <w:t xml:space="preserve">：</w:t>
      </w:r>
    </w:p>
    <w:p>
      <w:pPr>
        <w:numPr>
          <w:ilvl w:val="0"/>
          <w:numId w:val="1055"/>
        </w:numPr>
        <w:pStyle w:val="Compact"/>
      </w:pPr>
      <w:r>
        <w:t xml:space="preserve">页面标题：</w:t>
      </w:r>
      <w:r>
        <w:t xml:space="preserve">“</w:t>
      </w:r>
      <w:r>
        <w:t xml:space="preserve">芯片精度对比</w:t>
      </w:r>
      <w:r>
        <w:t xml:space="preserve">”</w:t>
      </w:r>
    </w:p>
    <w:p>
      <w:pPr>
        <w:numPr>
          <w:ilvl w:val="0"/>
          <w:numId w:val="1055"/>
        </w:numPr>
        <w:pStyle w:val="Compact"/>
      </w:pPr>
      <w:r>
        <w:t xml:space="preserve">副标题：「共 42 组精度对比，涵盖 DeepSeekv4 Pro 0813 1.6T、DeepSeek R1、Kimi K2.5/K2.6/K2.7-Code 1T、GLM 5/5.1、GLM 5.3 744B、MiniMax M3 428B、MiniMax M2.5/M2.7、Qwen 3.5 397B-A17B、Llama 3.3 70B」</w:t>
      </w:r>
    </w:p>
    <w:p>
      <w:pPr>
        <w:numPr>
          <w:ilvl w:val="0"/>
          <w:numId w:val="1055"/>
        </w:numPr>
        <w:pStyle w:val="Compact"/>
      </w:pPr>
      <w:r>
        <w:t xml:space="preserve">卡片子页面链接示例：</w:t>
      </w:r>
    </w:p>
    <w:p>
      <w:pPr>
        <w:numPr>
          <w:ilvl w:val="1"/>
          <w:numId w:val="1056"/>
        </w:numPr>
        <w:pStyle w:val="Compact"/>
      </w:pPr>
      <w:r>
        <w:rPr>
          <w:rStyle w:val="VerbatimChar"/>
        </w:rPr>
        <w:t xml:space="preserve">/zh/compare-precision/minimax-m3-mi355x-fp4-vs-fp8</w:t>
      </w:r>
    </w:p>
    <w:p>
      <w:pPr>
        <w:numPr>
          <w:ilvl w:val="1"/>
          <w:numId w:val="1056"/>
        </w:numPr>
        <w:pStyle w:val="Compact"/>
      </w:pPr>
      <w:r>
        <w:rPr>
          <w:rStyle w:val="VerbatimChar"/>
        </w:rPr>
        <w:t xml:space="preserve">/zh/compare-precision/qwen-3-5-mi355x-fp8-vs-bf16</w:t>
      </w:r>
    </w:p>
    <w:p>
      <w:pPr>
        <w:pStyle w:val="FirstParagraph"/>
      </w:pPr>
      <w:r>
        <w:rPr>
          <w:bCs/>
          <w:b/>
        </w:rPr>
        <w:t xml:space="preserve">精度全集（页面声明覆盖）</w:t>
      </w:r>
      <w:r>
        <w:t xml:space="preserve">：</w:t>
      </w:r>
      <w:r>
        <w:rPr>
          <w:bCs/>
          <w:b/>
        </w:rPr>
        <w:t xml:space="preserve">FP4、FP8、BF16、INT4</w:t>
      </w:r>
    </w:p>
    <w:p>
      <w:pPr>
        <w:pStyle w:val="BodyText"/>
      </w:pPr>
      <w:r>
        <w:rPr>
          <w:bCs/>
          <w:b/>
        </w:rPr>
        <w:t xml:space="preserve">专业解读</w:t>
      </w:r>
      <w:r>
        <w:t xml:space="preserve">：</w:t>
      </w:r>
    </w:p>
    <w:p>
      <w:pPr>
        <w:numPr>
          <w:ilvl w:val="0"/>
          <w:numId w:val="1057"/>
        </w:numPr>
        <w:pStyle w:val="Compact"/>
      </w:pPr>
      <w:r>
        <w:rPr>
          <w:bCs/>
          <w:b/>
        </w:rPr>
        <w:t xml:space="preserve">42 组的细分</w:t>
      </w:r>
      <w:r>
        <w:t xml:space="preserve">：9 个模型 ×（FP4-vs-FP8 + FP8-vs-BF16 + BF16-vs-INT4 等等）可能的组合数。实际看上去每模型 4-5 组精度对比</w:t>
      </w:r>
    </w:p>
    <w:p>
      <w:pPr>
        <w:numPr>
          <w:ilvl w:val="0"/>
          <w:numId w:val="1057"/>
        </w:numPr>
        <w:pStyle w:val="Compact"/>
      </w:pPr>
      <w:r>
        <w:rPr>
          <w:bCs/>
          <w:b/>
        </w:rPr>
        <w:t xml:space="preserve">MiniMax M3 进入精度对比</w:t>
      </w:r>
      <w:r>
        <w:t xml:space="preserve">：与 §8.2 中 MiniMax M3 在 AgentX</w:t>
      </w:r>
      <w:r>
        <w:t xml:space="preserve"> </w:t>
      </w:r>
      <w:r>
        <w:t xml:space="preserve">“</w:t>
      </w:r>
      <w:r>
        <w:t xml:space="preserve">无</w:t>
      </w:r>
      <w:r>
        <w:t xml:space="preserve"> </w:t>
      </w:r>
      <w:r>
        <w:t xml:space="preserve">@50</w:t>
      </w:r>
      <w:r>
        <w:t xml:space="preserve"> </w:t>
      </w:r>
      <w:r>
        <w:t xml:space="preserve">结果</w:t>
      </w:r>
      <w:r>
        <w:t xml:space="preserve">”</w:t>
      </w:r>
      <w:r>
        <w:t xml:space="preserve">形成鲜明对照——</w:t>
      </w:r>
      <w:r>
        <w:rPr>
          <w:bCs/>
          <w:b/>
        </w:rPr>
        <w:t xml:space="preserve">说明精度对比数据是允许在更低 SLO 下采样的</w:t>
      </w:r>
      <w:r>
        <w:t xml:space="preserve">。对于想要在 BF16/FP8 而非 FP4 跑的客户，MiniMax M3 也许在低 SLO 下有数据</w:t>
      </w:r>
    </w:p>
    <w:p>
      <w:pPr>
        <w:numPr>
          <w:ilvl w:val="0"/>
          <w:numId w:val="1057"/>
        </w:numPr>
        <w:pStyle w:val="Compact"/>
      </w:pPr>
      <w:r>
        <w:rPr>
          <w:bCs/>
          <w:b/>
        </w:rPr>
        <w:t xml:space="preserve">Qwen 3.5 MI355X 的 FP8 vs BF16 子页面</w:t>
      </w:r>
      <w:r>
        <w:t xml:space="preserve">：暗示在 AMD MI355X 上 FP8 与 BF16 有可比对——这对”AMD 上 FP8 vs Blackwell 上 FP4”的策略决策尤其重要</w:t>
      </w:r>
    </w:p>
    <w:p>
      <w:pPr>
        <w:numPr>
          <w:ilvl w:val="0"/>
          <w:numId w:val="1057"/>
        </w:numPr>
        <w:pStyle w:val="Compact"/>
      </w:pPr>
      <w:r>
        <w:rPr>
          <w:bCs/>
          <w:b/>
        </w:rPr>
        <w:t xml:space="preserve">页面副视图导航还提到 /zh/compare-per-dollar</w:t>
      </w:r>
      <w:r>
        <w:t xml:space="preserve">：</w:t>
      </w:r>
      <w:r>
        <w:t xml:space="preserve">“</w:t>
      </w:r>
      <w:r>
        <w:t xml:space="preserve">芯片每美元性能对比</w:t>
      </w:r>
      <w:r>
        <w:t xml:space="preserve">”</w:t>
      </w:r>
      <w:r>
        <w:t xml:space="preserve">是一个独立副视图，意味着精度对比与每美元性能是分开的两套轴——可以叠加使用</w:t>
      </w:r>
    </w:p>
    <w:bookmarkEnd w:id="80"/>
    <w:bookmarkStart w:id="81" w:name="zhcompare-spec-decode-芯片投机解码对比详情面板64-组"/>
    <w:p>
      <w:pPr>
        <w:pStyle w:val="Heading3"/>
      </w:pPr>
      <w:r>
        <w:t xml:space="preserve">8.5 /zh/compare-spec-decode ——</w:t>
      </w:r>
      <w:r>
        <w:t xml:space="preserve"> </w:t>
      </w:r>
      <w:r>
        <w:t xml:space="preserve">“</w:t>
      </w:r>
      <w:r>
        <w:t xml:space="preserve">芯片投机解码对比</w:t>
      </w:r>
      <w:r>
        <w:t xml:space="preserve">”</w:t>
      </w:r>
      <w:r>
        <w:t xml:space="preserve">详情面板（64 组）</w:t>
      </w:r>
    </w:p>
    <w:p>
      <w:pPr>
        <w:pStyle w:val="FirstParagraph"/>
      </w:pPr>
      <w:r>
        <w:rPr>
          <w:bCs/>
          <w:b/>
        </w:rPr>
        <w:t xml:space="preserve">页面原文摘要</w:t>
      </w:r>
      <w:r>
        <w:t xml:space="preserve">：</w:t>
      </w:r>
    </w:p>
    <w:p>
      <w:pPr>
        <w:numPr>
          <w:ilvl w:val="0"/>
          <w:numId w:val="1058"/>
        </w:numPr>
        <w:pStyle w:val="Compact"/>
      </w:pPr>
      <w:r>
        <w:t xml:space="preserve">页面标题：</w:t>
      </w:r>
      <w:r>
        <w:t xml:space="preserve">“</w:t>
      </w:r>
      <w:r>
        <w:t xml:space="preserve">芯片投机解码对比</w:t>
      </w:r>
      <w:r>
        <w:t xml:space="preserve">”</w:t>
      </w:r>
    </w:p>
    <w:p>
      <w:pPr>
        <w:numPr>
          <w:ilvl w:val="0"/>
          <w:numId w:val="1058"/>
        </w:numPr>
        <w:pStyle w:val="Compact"/>
      </w:pPr>
      <w:r>
        <w:t xml:space="preserve">副标题：「共 64 组投机解码对比，涵盖 DeepSeekv4 Pro 0813 1.6T、DeepSeek R1、Kimi K3 2.8T、GLM 5/5.1、MiniMax M3 428B、Qwen 3.5 397B-A17B」</w:t>
      </w:r>
    </w:p>
    <w:p>
      <w:pPr>
        <w:numPr>
          <w:ilvl w:val="0"/>
          <w:numId w:val="1058"/>
        </w:numPr>
        <w:pStyle w:val="Compact"/>
      </w:pPr>
      <w:r>
        <w:t xml:space="preserve">卡片标题样式举例：</w:t>
      </w:r>
      <w:r>
        <w:t xml:space="preserve">“</w:t>
      </w:r>
      <w:r>
        <w:t xml:space="preserve">B200 FP4 — 启用 MTP 与关闭投机解码</w:t>
      </w:r>
      <w:r>
        <w:t xml:space="preserve">”</w:t>
      </w:r>
      <w:r>
        <w:t xml:space="preserve">，下方标签</w:t>
      </w:r>
      <w:r>
        <w:t xml:space="preserve"> </w:t>
      </w:r>
      <w:r>
        <w:t xml:space="preserve">“</w:t>
      </w:r>
      <w:r>
        <w:t xml:space="preserve">NVIDIA · Blackwell</w:t>
      </w:r>
      <w:r>
        <w:t xml:space="preserve">”</w:t>
      </w:r>
    </w:p>
    <w:p>
      <w:pPr>
        <w:numPr>
          <w:ilvl w:val="0"/>
          <w:numId w:val="1058"/>
        </w:numPr>
        <w:pStyle w:val="Compact"/>
      </w:pPr>
      <w:r>
        <w:t xml:space="preserve">子页面路径示例：</w:t>
      </w:r>
      <w:r>
        <w:t xml:space="preserve">/zh/compare-spec-decode/&lt;model&gt;-&lt;gpu&gt;-&lt;precision&gt;-&lt;spec1&gt;-vs-&lt;spec2&gt;</w:t>
      </w:r>
    </w:p>
    <w:p>
      <w:pPr>
        <w:numPr>
          <w:ilvl w:val="1"/>
          <w:numId w:val="1059"/>
        </w:numPr>
        <w:pStyle w:val="Compact"/>
      </w:pPr>
      <w:r>
        <w:t xml:space="preserve">例：</w:t>
      </w:r>
      <w:r>
        <w:rPr>
          <w:rStyle w:val="VerbatimChar"/>
        </w:rPr>
        <w:t xml:space="preserve">/zh/compare-spec-decode/deepseek-v4-b200-fp4-mtp-vs-none</w:t>
      </w:r>
    </w:p>
    <w:p>
      <w:pPr>
        <w:pStyle w:val="FirstParagraph"/>
      </w:pPr>
      <w:r>
        <w:rPr>
          <w:bCs/>
          <w:b/>
        </w:rPr>
        <w:t xml:space="preserve">投机解码方法全集</w:t>
      </w:r>
      <w:r>
        <w:t xml:space="preserve">：</w:t>
      </w:r>
      <w:r>
        <w:rPr>
          <w:bCs/>
          <w:b/>
        </w:rPr>
        <w:t xml:space="preserve">MTP、DSpark、M3 EAGLE、关闭（none）</w:t>
      </w:r>
    </w:p>
    <w:p>
      <w:pPr>
        <w:pStyle w:val="BodyText"/>
      </w:pPr>
      <w:r>
        <w:rPr>
          <w:bCs/>
          <w:b/>
        </w:rPr>
        <w:t xml:space="preserve">按模型分组</w:t>
      </w:r>
      <w:r>
        <w:t xml:space="preserve">：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模型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投机解码对比组数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DeepSeek V4 Pro 0813 1.6T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DeepSeek R1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Kimi K3 2.8T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GLM 5/5.1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MiniMax M3 428B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Qwen 3.5 397B-A17B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合计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64</w:t>
            </w:r>
          </w:p>
        </w:tc>
      </w:tr>
    </w:tbl>
    <w:p>
      <w:pPr>
        <w:pStyle w:val="BodyText"/>
      </w:pPr>
      <w:r>
        <w:rPr>
          <w:bCs/>
          <w:b/>
        </w:rPr>
        <w:t xml:space="preserve">硬件</w:t>
      </w:r>
      <w:r>
        <w:t xml:space="preserve">：B200/B300/GB200/GB300/H100/H200/MI300X/MI325X/MI355X/RTX PRO 6000</w:t>
      </w:r>
    </w:p>
    <w:p>
      <w:pPr>
        <w:pStyle w:val="BodyText"/>
      </w:pPr>
      <w:r>
        <w:rPr>
          <w:bCs/>
          <w:b/>
        </w:rPr>
        <w:t xml:space="preserve">专业解读</w:t>
      </w:r>
      <w:r>
        <w:t xml:space="preserve">：</w:t>
      </w:r>
    </w:p>
    <w:p>
      <w:pPr>
        <w:numPr>
          <w:ilvl w:val="0"/>
          <w:numId w:val="1060"/>
        </w:numPr>
        <w:pStyle w:val="Compact"/>
      </w:pPr>
      <w:r>
        <w:rPr>
          <w:bCs/>
          <w:b/>
        </w:rPr>
        <w:t xml:space="preserve">M3 EAGLE 是首次出现的术语</w:t>
      </w:r>
      <w:r>
        <w:t xml:space="preserve">：除了 MTP / DSpark 之外，页面引入 M3 EAGLE —— 这是 MiniMax M3 专有的解码策略（</w:t>
      </w:r>
      <w:r>
        <w:t xml:space="preserve">“</w:t>
      </w:r>
      <w:r>
        <w:t xml:space="preserve">M3 EAGLE</w:t>
      </w:r>
      <w:r>
        <w:t xml:space="preserve">”</w:t>
      </w:r>
      <w:r>
        <w:t xml:space="preserve">应是</w:t>
      </w:r>
      <w:r>
        <w:t xml:space="preserve"> </w:t>
      </w:r>
      <w:r>
        <w:t xml:space="preserve">“</w:t>
      </w:r>
      <w:r>
        <w:t xml:space="preserve">MiniMax M3 + EAGLE-style draft</w:t>
      </w:r>
      <w:r>
        <w:t xml:space="preserve">”</w:t>
      </w:r>
      <w:r>
        <w:t xml:space="preserve"> </w:t>
      </w:r>
      <w:r>
        <w:t xml:space="preserve">的缩写）。</w:t>
      </w:r>
      <w:r>
        <w:rPr>
          <w:bCs/>
          <w:b/>
        </w:rPr>
        <w:t xml:space="preserve">MiniMax M3 在 speculative decoding 维度上自成一脉</w:t>
      </w:r>
      <w:r>
        <w:t xml:space="preserve">，是该模型的核心竞争力之一</w:t>
      </w:r>
    </w:p>
    <w:p>
      <w:pPr>
        <w:numPr>
          <w:ilvl w:val="0"/>
          <w:numId w:val="1060"/>
        </w:numPr>
        <w:pStyle w:val="Compact"/>
      </w:pPr>
      <w:r>
        <w:rPr>
          <w:bCs/>
          <w:b/>
        </w:rPr>
        <w:t xml:space="preserve">64 组的分布</w:t>
      </w:r>
      <w:r>
        <w:t xml:space="preserve">：Qwen 3.5（18）+ DeepSeek R1（13）+ GLM 5/5.1（11）+ MiniMax M3（11）是前 4 大块；Kimi K3 仅 3 组（与 §8.2 配置数最少对应）</w:t>
      </w:r>
    </w:p>
    <w:p>
      <w:pPr>
        <w:numPr>
          <w:ilvl w:val="0"/>
          <w:numId w:val="1060"/>
        </w:numPr>
        <w:pStyle w:val="Compact"/>
      </w:pPr>
      <w:r>
        <w:rPr>
          <w:bCs/>
          <w:b/>
        </w:rPr>
        <w:t xml:space="preserve">没有 MTP vs DSpark 的直接对比</w:t>
      </w:r>
      <w:r>
        <w:t xml:space="preserve">：64 组仅在”启用 X vs 关闭（none）</w:t>
      </w:r>
      <w:r>
        <w:t xml:space="preserve">“</w:t>
      </w:r>
      <w:r>
        <w:t xml:space="preserve">维度上比较，没有</w:t>
      </w:r>
      <w:r>
        <w:t xml:space="preserve">”</w:t>
      </w:r>
      <w:r>
        <w:t xml:space="preserve">MTP vs DSpark”互比。这暗示 speculating 算法对比是当前用户的盲区，需要主动请求额外对比</w:t>
      </w:r>
    </w:p>
    <w:p>
      <w:pPr>
        <w:numPr>
          <w:ilvl w:val="0"/>
          <w:numId w:val="1060"/>
        </w:numPr>
        <w:pStyle w:val="Compact"/>
      </w:pPr>
      <w:r>
        <w:rPr>
          <w:bCs/>
          <w:b/>
        </w:rPr>
        <w:t xml:space="preserve">副视图的连环组合</w:t>
      </w:r>
      <w:r>
        <w:t xml:space="preserve">：用户从</w:t>
      </w:r>
      <w:r>
        <w:t xml:space="preserve"> </w:t>
      </w:r>
      <w:r>
        <w:rPr>
          <w:rStyle w:val="VerbatimChar"/>
        </w:rPr>
        <w:t xml:space="preserve">compare-spec-decode</w:t>
      </w:r>
      <w:r>
        <w:t xml:space="preserve"> </w:t>
      </w:r>
      <w:r>
        <w:t xml:space="preserve">卡片进入子页面后，</w:t>
      </w:r>
      <w:r>
        <w:rPr>
          <w:bCs/>
          <w:b/>
        </w:rPr>
        <w:t xml:space="preserve">理论上可以叠加</w:t>
      </w:r>
      <w:r>
        <w:rPr>
          <w:bCs/>
          <w:b/>
        </w:rPr>
        <w:t xml:space="preserve"> </w:t>
      </w:r>
      <w:r>
        <w:rPr>
          <w:rStyle w:val="VerbatimChar"/>
          <w:bCs/>
          <w:b/>
        </w:rPr>
        <w:t xml:space="preserve">compare-precision</w:t>
      </w:r>
      <w:r>
        <w:rPr>
          <w:bCs/>
          <w:b/>
        </w:rPr>
        <w:t xml:space="preserve"> </w:t>
      </w:r>
      <w:r>
        <w:rPr>
          <w:bCs/>
          <w:b/>
        </w:rPr>
        <w:t xml:space="preserve">的精度轴</w:t>
      </w:r>
      <w:r>
        <w:t xml:space="preserve">——即同一组合可同时拉出”MTP-ON/MTP-OFF”+</w:t>
      </w:r>
      <w:r>
        <w:t xml:space="preserve">“</w:t>
      </w:r>
      <w:r>
        <w:t xml:space="preserve">FP4/FP8</w:t>
      </w:r>
      <w:r>
        <w:t xml:space="preserve">”</w:t>
      </w:r>
      <w:r>
        <w:t xml:space="preserve">四元对照。这是 InferenceX 比较系统的逻辑完备性的体现</w:t>
      </w:r>
    </w:p>
    <w:bookmarkEnd w:id="81"/>
    <w:bookmarkStart w:id="82" w:name="X82e43fc5a3fcaa1031c650503cf8f21bc33d1b8"/>
    <w:p>
      <w:pPr>
        <w:pStyle w:val="Heading3"/>
      </w:pPr>
      <w:r>
        <w:t xml:space="preserve">8.6 /zh/profit-estimator-per-gigawatt ——</w:t>
      </w:r>
      <w:r>
        <w:t xml:space="preserve"> </w:t>
      </w:r>
      <w:r>
        <w:t xml:space="preserve">“</w:t>
      </w:r>
      <w:r>
        <w:t xml:space="preserve">每吉瓦推理利润估算器</w:t>
      </w:r>
      <w:r>
        <w:t xml:space="preserve">”</w:t>
      </w:r>
    </w:p>
    <w:p>
      <w:pPr>
        <w:pStyle w:val="FirstParagraph"/>
      </w:pPr>
      <w:r>
        <w:rPr>
          <w:bCs/>
          <w:b/>
        </w:rPr>
        <w:t xml:space="preserve">页面原文摘要</w:t>
      </w:r>
      <w:r>
        <w:t xml:space="preserve">：</w:t>
      </w:r>
    </w:p>
    <w:p>
      <w:pPr>
        <w:numPr>
          <w:ilvl w:val="0"/>
          <w:numId w:val="1061"/>
        </w:numPr>
        <w:pStyle w:val="Compact"/>
      </w:pPr>
      <w:r>
        <w:t xml:space="preserve">页面标题：「每吉瓦推理利润估算器」</w:t>
      </w:r>
    </w:p>
    <w:p>
      <w:pPr>
        <w:numPr>
          <w:ilvl w:val="0"/>
          <w:numId w:val="1061"/>
        </w:numPr>
        <w:pStyle w:val="Compact"/>
      </w:pPr>
      <w:r>
        <w:t xml:space="preserve">导航中提供”模型选择下拉菜单显示</w:t>
      </w:r>
      <w:r>
        <w:t xml:space="preserve"> </w:t>
      </w:r>
      <w:r>
        <w:t xml:space="preserve">‘</w:t>
      </w:r>
      <w:r>
        <w:t xml:space="preserve">Kimi K3 2.8T</w:t>
      </w:r>
      <w:r>
        <w:t xml:space="preserve">’</w:t>
      </w:r>
      <w:r>
        <w:t xml:space="preserve">“</w:t>
      </w:r>
      <w:r>
        <w:t xml:space="preserve">、</w:t>
      </w:r>
      <w:r>
        <w:t xml:space="preserve">”</w:t>
      </w:r>
      <w:r>
        <w:t xml:space="preserve">目标 P90 交互性 (tok/s/user)</w:t>
      </w:r>
      <w:r>
        <w:t xml:space="preserve">“</w:t>
      </w:r>
      <w:r>
        <w:t xml:space="preserve">、</w:t>
      </w:r>
      <w:r>
        <w:t xml:space="preserve">”</w:t>
      </w:r>
      <w:r>
        <w:t xml:space="preserve">Cache 命中率” 参数</w:t>
      </w:r>
    </w:p>
    <w:p>
      <w:pPr>
        <w:numPr>
          <w:ilvl w:val="0"/>
          <w:numId w:val="1061"/>
        </w:numPr>
        <w:pStyle w:val="Compact"/>
      </w:pPr>
      <w:r>
        <w:t xml:space="preserve">描述：「按每全电源配置吉瓦每年计算各芯片的收入，并以堆叠柱形拆分为算力支出（TCO）、模型实验室从收入中抽取的许可费，以及运营方所剩利润」</w:t>
      </w:r>
    </w:p>
    <w:p>
      <w:pPr>
        <w:pStyle w:val="FirstParagraph"/>
      </w:pPr>
      <w:r>
        <w:rPr>
          <w:bCs/>
          <w:b/>
        </w:rPr>
        <w:t xml:space="preserve">专业解读</w:t>
      </w:r>
      <w:r>
        <w:t xml:space="preserve">：</w:t>
      </w:r>
    </w:p>
    <w:p>
      <w:pPr>
        <w:numPr>
          <w:ilvl w:val="0"/>
          <w:numId w:val="1062"/>
        </w:numPr>
        <w:pStyle w:val="Compact"/>
      </w:pPr>
      <w:r>
        <w:rPr>
          <w:bCs/>
          <w:b/>
        </w:rPr>
        <w:t xml:space="preserve">从”每 token 成本”到”每吉瓦利润”的范式跃迁</w:t>
      </w:r>
      <w:r>
        <w:t xml:space="preserve">：这是页面把 LLM 推理从微观（SLA 满足）提升到宏观（</w:t>
      </w:r>
      <w:r>
        <w:rPr>
          <w:bCs/>
          <w:b/>
        </w:rPr>
        <w:t xml:space="preserve">超大规模 Token 工厂经济学</w:t>
      </w:r>
      <w:r>
        <w:t xml:space="preserve">）的关键面板。读者从工程师角色转向”运营规划师”角色</w:t>
      </w:r>
    </w:p>
    <w:p>
      <w:pPr>
        <w:numPr>
          <w:ilvl w:val="0"/>
          <w:numId w:val="1062"/>
        </w:numPr>
        <w:pStyle w:val="Compact"/>
      </w:pPr>
      <w:r>
        <w:rPr>
          <w:bCs/>
          <w:b/>
        </w:rPr>
        <w:t xml:space="preserve">三层收入拆分</w:t>
      </w:r>
      <w:r>
        <w:t xml:space="preserve">：</w:t>
      </w:r>
    </w:p>
    <w:p>
      <w:pPr>
        <w:numPr>
          <w:ilvl w:val="1"/>
          <w:numId w:val="1063"/>
        </w:numPr>
        <w:pStyle w:val="Compact"/>
      </w:pPr>
      <w:r>
        <w:t xml:space="preserve">算力支出（TCO）= 硬件分时价 × 占用 + 电费 + 机位 + 折旧</w:t>
      </w:r>
    </w:p>
    <w:p>
      <w:pPr>
        <w:numPr>
          <w:ilvl w:val="1"/>
          <w:numId w:val="1063"/>
        </w:numPr>
        <w:pStyle w:val="Compact"/>
      </w:pPr>
      <w:r>
        <w:t xml:space="preserve">模型实验室许可费 = 模型版权方从收入中分成</w:t>
      </w:r>
    </w:p>
    <w:p>
      <w:pPr>
        <w:numPr>
          <w:ilvl w:val="1"/>
          <w:numId w:val="1063"/>
        </w:numPr>
        <w:pStyle w:val="Compact"/>
      </w:pPr>
      <w:r>
        <w:t xml:space="preserve">运营方所剩利润 = 收入 − 上述两项</w:t>
      </w:r>
    </w:p>
    <w:p>
      <w:pPr>
        <w:numPr>
          <w:ilvl w:val="0"/>
          <w:numId w:val="1062"/>
        </w:numPr>
        <w:pStyle w:val="Compact"/>
      </w:pPr>
      <w:r>
        <w:rPr>
          <w:bCs/>
          <w:b/>
        </w:rPr>
        <w:t xml:space="preserve">输入参数</w:t>
      </w:r>
      <w:r>
        <w:t xml:space="preserve">：</w:t>
      </w:r>
    </w:p>
    <w:p>
      <w:pPr>
        <w:numPr>
          <w:ilvl w:val="1"/>
          <w:numId w:val="1064"/>
        </w:numPr>
        <w:pStyle w:val="Compact"/>
      </w:pPr>
      <w:r>
        <w:t xml:space="preserve">目标 P90 交互性（tok/s/user）—— 取 P90 而非平均是 ToS 思维，对应最差 10% 用户体验</w:t>
      </w:r>
    </w:p>
    <w:p>
      <w:pPr>
        <w:numPr>
          <w:ilvl w:val="1"/>
          <w:numId w:val="1064"/>
        </w:numPr>
        <w:pStyle w:val="Compact"/>
      </w:pPr>
      <w:r>
        <w:t xml:space="preserve">Cache 命中率 ——</w:t>
      </w:r>
      <w:r>
        <w:t xml:space="preserve"> </w:t>
      </w:r>
      <w:r>
        <w:rPr>
          <w:bCs/>
          <w:b/>
        </w:rPr>
        <w:t xml:space="preserve">每模型都有不同的 prefix share 假设</w:t>
      </w:r>
      <w:r>
        <w:t xml:space="preserve">，直接影响 KV 显存占用与有效吞吐</w:t>
      </w:r>
    </w:p>
    <w:p>
      <w:pPr>
        <w:numPr>
          <w:ilvl w:val="0"/>
          <w:numId w:val="1062"/>
        </w:numPr>
        <w:pStyle w:val="Compact"/>
      </w:pPr>
      <w:r>
        <w:rPr>
          <w:bCs/>
          <w:b/>
        </w:rPr>
        <w:t xml:space="preserve">未抓到具体数字</w:t>
      </w:r>
      <w:r>
        <w:t xml:space="preserve">：页面骨架存在，但实际计算结果在 SPA 渲染中，未抓到。这与 §7.2 的判断一致——TTFT / 利润拆分不在静态可访问的范畴</w:t>
      </w:r>
    </w:p>
    <w:bookmarkEnd w:id="82"/>
    <w:bookmarkStart w:id="83" w:name="zhcalculator-吞吐量与-tco-计算器"/>
    <w:p>
      <w:pPr>
        <w:pStyle w:val="Heading3"/>
      </w:pPr>
      <w:r>
        <w:t xml:space="preserve">8.7 /zh/calculator ——</w:t>
      </w:r>
      <w:r>
        <w:t xml:space="preserve"> </w:t>
      </w:r>
      <w:r>
        <w:t xml:space="preserve">“</w:t>
      </w:r>
      <w:r>
        <w:t xml:space="preserve">吞吐量与 TCO 计算器</w:t>
      </w:r>
      <w:r>
        <w:t xml:space="preserve">”</w:t>
      </w:r>
    </w:p>
    <w:p>
      <w:pPr>
        <w:pStyle w:val="FirstParagraph"/>
      </w:pPr>
      <w:r>
        <w:rPr>
          <w:bCs/>
          <w:b/>
        </w:rPr>
        <w:t xml:space="preserve">页面原文摘要</w:t>
      </w:r>
      <w:r>
        <w:t xml:space="preserve">：</w:t>
      </w:r>
    </w:p>
    <w:p>
      <w:pPr>
        <w:numPr>
          <w:ilvl w:val="0"/>
          <w:numId w:val="1065"/>
        </w:numPr>
        <w:pStyle w:val="Compact"/>
      </w:pPr>
      <w:r>
        <w:t xml:space="preserve">页面标题：「吞吐量与总拥有成本（TCO）计算器」</w:t>
      </w:r>
    </w:p>
    <w:p>
      <w:pPr>
        <w:numPr>
          <w:ilvl w:val="0"/>
          <w:numId w:val="1065"/>
        </w:numPr>
        <w:pStyle w:val="Compact"/>
      </w:pPr>
      <w:r>
        <w:t xml:space="preserve">副标题：「基于真实基准测试数据插值计算」</w:t>
      </w:r>
    </w:p>
    <w:p>
      <w:pPr>
        <w:numPr>
          <w:ilvl w:val="0"/>
          <w:numId w:val="1065"/>
        </w:numPr>
        <w:pStyle w:val="Compact"/>
      </w:pPr>
      <w:r>
        <w:t xml:space="preserve">当前模型：DeepSeek V4 Pro 0813 1.6T（logo + 文字静态展示）</w:t>
      </w:r>
    </w:p>
    <w:p>
      <w:pPr>
        <w:numPr>
          <w:ilvl w:val="0"/>
          <w:numId w:val="1065"/>
        </w:numPr>
        <w:pStyle w:val="Compact"/>
      </w:pPr>
      <w:r>
        <w:t xml:space="preserve">当前精度：FP4</w:t>
      </w:r>
    </w:p>
    <w:p>
      <w:pPr>
        <w:numPr>
          <w:ilvl w:val="0"/>
          <w:numId w:val="1065"/>
        </w:numPr>
        <w:pStyle w:val="Compact"/>
      </w:pPr>
      <w:r>
        <w:t xml:space="preserve">输入参数可视化：目标交互性（tokens/sec/user）、模型、场景、精度、计价方式（</w:t>
      </w:r>
      <w:r>
        <w:t xml:space="preserve">“</w:t>
      </w:r>
      <w:r>
        <w:t xml:space="preserve">自有 - 超大规模云大批量</w:t>
      </w:r>
      <w:r>
        <w:t xml:space="preserve">”</w:t>
      </w:r>
      <w:r>
        <w:t xml:space="preserve">）、token 类型（</w:t>
      </w:r>
      <w:r>
        <w:t xml:space="preserve">“</w:t>
      </w:r>
      <w:r>
        <w:t xml:space="preserve">总 token</w:t>
      </w:r>
      <w:r>
        <w:t xml:space="preserve">”</w:t>
      </w:r>
      <w:r>
        <w:t xml:space="preserve">）</w:t>
      </w:r>
    </w:p>
    <w:p>
      <w:pPr>
        <w:numPr>
          <w:ilvl w:val="0"/>
          <w:numId w:val="1065"/>
        </w:numPr>
        <w:pStyle w:val="Compact"/>
      </w:pPr>
      <w:r>
        <w:t xml:space="preserve">指标：「吞吐量 tok/s/MW 成本」</w:t>
      </w:r>
    </w:p>
    <w:p>
      <w:pPr>
        <w:numPr>
          <w:ilvl w:val="0"/>
          <w:numId w:val="1065"/>
        </w:numPr>
        <w:pStyle w:val="Compact"/>
      </w:pPr>
      <w:r>
        <w:t xml:space="preserve">场景：「8K / 1K（已弃用）」</w:t>
      </w:r>
    </w:p>
    <w:p>
      <w:pPr>
        <w:numPr>
          <w:ilvl w:val="0"/>
          <w:numId w:val="1065"/>
        </w:numPr>
        <w:pStyle w:val="Compact"/>
      </w:pPr>
      <w:r>
        <w:t xml:space="preserve">存在”更多对比设置”扩展入口</w:t>
      </w:r>
    </w:p>
    <w:p>
      <w:pPr>
        <w:pStyle w:val="FirstParagraph"/>
      </w:pPr>
      <w:r>
        <w:rPr>
          <w:bCs/>
          <w:b/>
        </w:rPr>
        <w:t xml:space="preserve">专业解读</w:t>
      </w:r>
      <w:r>
        <w:t xml:space="preserve">：</w:t>
      </w:r>
    </w:p>
    <w:p>
      <w:pPr>
        <w:numPr>
          <w:ilvl w:val="0"/>
          <w:numId w:val="1066"/>
        </w:numPr>
        <w:pStyle w:val="Compact"/>
      </w:pPr>
      <w:r>
        <w:rPr>
          <w:bCs/>
          <w:b/>
        </w:rPr>
        <w:t xml:space="preserve">指标</w:t>
      </w:r>
      <w:r>
        <w:rPr>
          <w:bCs/>
          <w:b/>
        </w:rP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tok/s/MW</w:t>
      </w:r>
      <w:r>
        <w:rPr>
          <w:bCs/>
          <w:b/>
        </w:rPr>
        <w:t xml:space="preserve">”</w:t>
      </w:r>
      <w:r>
        <w:t xml:space="preserve">：把”吞吐 / 兆瓦”作为新坐标系——这是把能耗与吞吐绑定，直接对应数据中心的 GPU + IDC 一体化规划</w:t>
      </w:r>
    </w:p>
    <w:p>
      <w:pPr>
        <w:numPr>
          <w:ilvl w:val="0"/>
          <w:numId w:val="1066"/>
        </w:numPr>
        <w:pStyle w:val="Compact"/>
      </w:pPr>
      <w:r>
        <w:rPr>
          <w:bCs/>
          <w:b/>
        </w:rPr>
        <w:t xml:space="preserve">“</w:t>
      </w:r>
      <w:r>
        <w:rPr>
          <w:bCs/>
          <w:b/>
        </w:rPr>
        <w:t xml:space="preserve">插值计算</w:t>
      </w:r>
      <w:r>
        <w:rPr>
          <w:bCs/>
          <w:b/>
        </w:rPr>
        <w:t xml:space="preserve">”</w:t>
      </w:r>
      <w:r>
        <w:rPr>
          <w:bCs/>
          <w:b/>
        </w:rPr>
        <w:t xml:space="preserve">语义</w:t>
      </w:r>
      <w:r>
        <w:t xml:space="preserve">：意味着当用户输入的 (精度 × 模型 × SLO) 组合在基准表中不存在时，页面会用相邻数据点插值。这减少了对未跑过的组合的盲区，但</w:t>
      </w:r>
      <w:r>
        <w:rPr>
          <w:bCs/>
          <w:b/>
        </w:rPr>
        <w:t xml:space="preserve">插值可能掩盖跳变点</w:t>
      </w:r>
    </w:p>
    <w:p>
      <w:pPr>
        <w:numPr>
          <w:ilvl w:val="0"/>
          <w:numId w:val="1066"/>
        </w:numPr>
        <w:pStyle w:val="Compact"/>
      </w:pPr>
      <w:r>
        <w:rPr>
          <w:bCs/>
          <w:b/>
        </w:rPr>
        <w:t xml:space="preserve">计价方式 dropdown 至少含一类</w:t>
      </w:r>
      <w:r>
        <w:t xml:space="preserve">：</w:t>
      </w:r>
      <w:r>
        <w:t xml:space="preserve">“</w:t>
      </w:r>
      <w:r>
        <w:t xml:space="preserve">自有 - 超大规模云大批量</w:t>
      </w:r>
      <w:r>
        <w:t xml:space="preserve">”</w:t>
      </w:r>
      <w:r>
        <w:t xml:space="preserve">，意味着默认按 hyperscaler 自建数据中心 + 大批量 GPU 订单的成本口径。这与 MLPerf Inference 的”closed 部门用 on-prem 单价”不同</w:t>
      </w:r>
    </w:p>
    <w:p>
      <w:pPr>
        <w:numPr>
          <w:ilvl w:val="0"/>
          <w:numId w:val="1066"/>
        </w:numPr>
        <w:pStyle w:val="Compact"/>
      </w:pPr>
      <w:r>
        <w:rPr>
          <w:bCs/>
          <w:b/>
        </w:rPr>
        <w:t xml:space="preserve">场景已弃用</w:t>
      </w:r>
      <w:r>
        <w:t xml:space="preserve">：8K/1K 是右侧已弃用场景，但 calculator 默认仍展示该场景——可能因为 AgentX 尚未完全集成进 calculator 后端</w:t>
      </w:r>
    </w:p>
    <w:bookmarkEnd w:id="83"/>
    <w:bookmarkStart w:id="84" w:name="zhhistorical-历史趋势详情面板"/>
    <w:p>
      <w:pPr>
        <w:pStyle w:val="Heading3"/>
      </w:pPr>
      <w:r>
        <w:t xml:space="preserve">8.8 /zh/historical ——</w:t>
      </w:r>
      <w:r>
        <w:t xml:space="preserve"> </w:t>
      </w:r>
      <w:r>
        <w:t xml:space="preserve">“</w:t>
      </w:r>
      <w:r>
        <w:t xml:space="preserve">历史趋势</w:t>
      </w:r>
      <w:r>
        <w:t xml:space="preserve">”</w:t>
      </w:r>
      <w:r>
        <w:t xml:space="preserve">详情面板</w:t>
      </w:r>
    </w:p>
    <w:p>
      <w:pPr>
        <w:pStyle w:val="FirstParagraph"/>
      </w:pPr>
      <w:r>
        <w:rPr>
          <w:bCs/>
          <w:b/>
        </w:rPr>
        <w:t xml:space="preserve">页面原文摘要</w:t>
      </w:r>
      <w:r>
        <w:t xml:space="preserve">：</w:t>
      </w:r>
    </w:p>
    <w:p>
      <w:pPr>
        <w:numPr>
          <w:ilvl w:val="0"/>
          <w:numId w:val="1067"/>
        </w:numPr>
        <w:pStyle w:val="Compact"/>
      </w:pPr>
      <w:r>
        <w:t xml:space="preserve">页面标题：</w:t>
      </w:r>
      <w:r>
        <w:t xml:space="preserve">“</w:t>
      </w:r>
      <w:r>
        <w:t xml:space="preserve">历史推理性能趋势</w:t>
      </w:r>
      <w:r>
        <w:t xml:space="preserve">”</w:t>
      </w:r>
    </w:p>
    <w:p>
      <w:pPr>
        <w:numPr>
          <w:ilvl w:val="0"/>
          <w:numId w:val="1067"/>
        </w:numPr>
        <w:pStyle w:val="Compact"/>
      </w:pPr>
      <w:r>
        <w:t xml:space="preserve">图表名：</w:t>
      </w:r>
      <w:r>
        <w:t xml:space="preserve">“</w:t>
      </w:r>
      <w:r>
        <w:t xml:space="preserve">历史趋势</w:t>
      </w:r>
      <w:r>
        <w:t xml:space="preserve">”</w:t>
      </w:r>
      <w:r>
        <w:t xml:space="preserve">（数据”经插值计算”）</w:t>
      </w:r>
    </w:p>
    <w:p>
      <w:pPr>
        <w:numPr>
          <w:ilvl w:val="0"/>
          <w:numId w:val="1067"/>
        </w:numPr>
        <w:pStyle w:val="Compact"/>
      </w:pPr>
      <w:r>
        <w:t xml:space="preserve">当前展示的模型：DeepSeek V4 Pro 0813 1.6T</w:t>
      </w:r>
    </w:p>
    <w:p>
      <w:pPr>
        <w:numPr>
          <w:ilvl w:val="0"/>
          <w:numId w:val="1067"/>
        </w:numPr>
        <w:pStyle w:val="Compact"/>
      </w:pPr>
      <w:r>
        <w:t xml:space="preserve">场景：8K / 1K（已弃用）</w:t>
      </w:r>
    </w:p>
    <w:p>
      <w:pPr>
        <w:numPr>
          <w:ilvl w:val="0"/>
          <w:numId w:val="1067"/>
        </w:numPr>
        <w:pStyle w:val="Compact"/>
      </w:pPr>
      <w:r>
        <w:t xml:space="preserve">精度：FP4</w:t>
      </w:r>
    </w:p>
    <w:p>
      <w:pPr>
        <w:numPr>
          <w:ilvl w:val="0"/>
          <w:numId w:val="1067"/>
        </w:numPr>
        <w:pStyle w:val="Compact"/>
      </w:pPr>
      <w:r>
        <w:t xml:space="preserve">存在”最新运行日期”控件与”对比历史趋势”按钮</w:t>
      </w:r>
    </w:p>
    <w:p>
      <w:pPr>
        <w:pStyle w:val="FirstParagraph"/>
      </w:pPr>
      <w:r>
        <w:rPr>
          <w:bCs/>
          <w:b/>
        </w:rPr>
        <w:t xml:space="preserve">专业解读</w:t>
      </w:r>
      <w:r>
        <w:t xml:space="preserve">：</w:t>
      </w:r>
    </w:p>
    <w:p>
      <w:pPr>
        <w:numPr>
          <w:ilvl w:val="0"/>
          <w:numId w:val="1068"/>
        </w:numPr>
        <w:pStyle w:val="Compact"/>
      </w:pPr>
      <w:r>
        <w:rPr>
          <w:bCs/>
          <w:b/>
        </w:rPr>
        <w:t xml:space="preserve">当前只显示”已弃用”模型的历史</w:t>
      </w:r>
      <w:r>
        <w:t xml:space="preserve">：这暗示</w:t>
      </w:r>
      <w:r>
        <w:rPr>
          <w:bCs/>
          <w:b/>
        </w:rPr>
        <w:t xml:space="preserve">活跃模型暂未启用历史曲线</w:t>
      </w:r>
      <w:r>
        <w:t xml:space="preserve">——架构上占位但功能未完全上线。读者不应从该页判断”所有模型都跟 30 天前一致”</w:t>
      </w:r>
    </w:p>
    <w:p>
      <w:pPr>
        <w:numPr>
          <w:ilvl w:val="0"/>
          <w:numId w:val="1068"/>
        </w:numPr>
        <w:pStyle w:val="Compact"/>
      </w:pPr>
      <w:r>
        <w:rPr>
          <w:bCs/>
          <w:b/>
        </w:rPr>
        <w:t xml:space="preserve">“</w:t>
      </w:r>
      <w:r>
        <w:rPr>
          <w:bCs/>
          <w:b/>
        </w:rPr>
        <w:t xml:space="preserve">插值</w:t>
      </w:r>
      <w:r>
        <w:rPr>
          <w:bCs/>
          <w:b/>
        </w:rPr>
        <w:t xml:space="preserve">”</w:t>
      </w:r>
      <w:r>
        <w:rPr>
          <w:bCs/>
          <w:b/>
        </w:rPr>
        <w:t xml:space="preserve">语义</w:t>
      </w:r>
      <w:r>
        <w:t xml:space="preserve">：历史之间的曲线为插值而非原始测量——这一点与 §3.7 完全吻合：当配置变化时才有新跑分</w:t>
      </w:r>
    </w:p>
    <w:p>
      <w:pPr>
        <w:numPr>
          <w:ilvl w:val="0"/>
          <w:numId w:val="1068"/>
        </w:numPr>
        <w:pStyle w:val="Compact"/>
      </w:pPr>
      <w:r>
        <w:rPr>
          <w:bCs/>
          <w:b/>
        </w:rPr>
        <w:t xml:space="preserve">“</w:t>
      </w:r>
      <w:r>
        <w:rPr>
          <w:bCs/>
          <w:b/>
        </w:rPr>
        <w:t xml:space="preserve">对比历史趋势</w:t>
      </w:r>
      <w:r>
        <w:rPr>
          <w:bCs/>
          <w:b/>
        </w:rPr>
        <w:t xml:space="preserve">”</w:t>
      </w:r>
      <w:r>
        <w:rPr>
          <w:bCs/>
          <w:b/>
        </w:rPr>
        <w:t xml:space="preserve">按钮</w:t>
      </w:r>
      <w:r>
        <w:t xml:space="preserve">：表明 30 天对比是按 (chip × engine × precision × spec) 多元组查找历史最优点——即”对比 B200 基线 + 历史 30 天”是 §2.4 中提到的副视图</w:t>
      </w:r>
    </w:p>
    <w:bookmarkEnd w:id="84"/>
    <w:bookmarkStart w:id="85" w:name="zhcache-reuse-前缀缓存复用详情面板"/>
    <w:p>
      <w:pPr>
        <w:pStyle w:val="Heading3"/>
      </w:pPr>
      <w:r>
        <w:t xml:space="preserve">8.9 /zh/cache-reuse ——</w:t>
      </w:r>
      <w:r>
        <w:t xml:space="preserve"> </w:t>
      </w:r>
      <w:r>
        <w:t xml:space="preserve">“</w:t>
      </w:r>
      <w:r>
        <w:t xml:space="preserve">前缀缓存复用</w:t>
      </w:r>
      <w:r>
        <w:t xml:space="preserve">”</w:t>
      </w:r>
      <w:r>
        <w:t xml:space="preserve">详情面板</w:t>
      </w:r>
    </w:p>
    <w:p>
      <w:pPr>
        <w:pStyle w:val="FirstParagraph"/>
      </w:pPr>
      <w:r>
        <w:rPr>
          <w:bCs/>
          <w:b/>
        </w:rPr>
        <w:t xml:space="preserve">页面原文摘要</w:t>
      </w:r>
      <w:r>
        <w:t xml:space="preserve">：</w:t>
      </w:r>
    </w:p>
    <w:p>
      <w:pPr>
        <w:numPr>
          <w:ilvl w:val="0"/>
          <w:numId w:val="1069"/>
        </w:numPr>
        <w:pStyle w:val="Compact"/>
      </w:pPr>
      <w:r>
        <w:t xml:space="preserve">页面标题：「前缀缓存复用」（Cache Reuse）</w:t>
      </w:r>
    </w:p>
    <w:p>
      <w:pPr>
        <w:numPr>
          <w:ilvl w:val="0"/>
          <w:numId w:val="1069"/>
        </w:numPr>
        <w:pStyle w:val="Compact"/>
      </w:pPr>
      <w:r>
        <w:t xml:space="preserve">描述：「所有数值均来自运行时实测的缓存计数」</w:t>
      </w:r>
    </w:p>
    <w:p>
      <w:pPr>
        <w:numPr>
          <w:ilvl w:val="0"/>
          <w:numId w:val="1069"/>
        </w:numPr>
        <w:pStyle w:val="Compact"/>
      </w:pPr>
      <w:r>
        <w:t xml:space="preserve">当前配置：DeepSeek V4 Pro 0813 1.6T</w:t>
      </w:r>
    </w:p>
    <w:p>
      <w:pPr>
        <w:numPr>
          <w:ilvl w:val="0"/>
          <w:numId w:val="1069"/>
        </w:numPr>
        <w:pStyle w:val="Compact"/>
      </w:pPr>
      <w:r>
        <w:t xml:space="preserve">提示：</w:t>
      </w:r>
      <w:r>
        <w:t xml:space="preserve">“</w:t>
      </w:r>
      <w:r>
        <w:t xml:space="preserve">可以叠加 trace 的理论上限</w:t>
      </w:r>
      <w:r>
        <w:t xml:space="preserve">”</w:t>
      </w:r>
    </w:p>
    <w:p>
      <w:pPr>
        <w:numPr>
          <w:ilvl w:val="0"/>
          <w:numId w:val="1069"/>
        </w:numPr>
        <w:pStyle w:val="Compact"/>
      </w:pPr>
      <w:r>
        <w:t xml:space="preserve">未列出对比模型、未给出命中率数值</w:t>
      </w:r>
    </w:p>
    <w:p>
      <w:pPr>
        <w:pStyle w:val="FirstParagraph"/>
      </w:pPr>
      <w:r>
        <w:rPr>
          <w:bCs/>
          <w:b/>
        </w:rPr>
        <w:t xml:space="preserve">专业解读</w:t>
      </w:r>
      <w:r>
        <w:t xml:space="preserve">：</w:t>
      </w:r>
    </w:p>
    <w:p>
      <w:pPr>
        <w:numPr>
          <w:ilvl w:val="0"/>
          <w:numId w:val="1070"/>
        </w:numPr>
        <w:pStyle w:val="Compact"/>
      </w:pPr>
      <w:r>
        <w:rPr>
          <w:bCs/>
          <w:b/>
        </w:rPr>
        <w:t xml:space="preserve">单模型骨架</w:t>
      </w:r>
      <w:r>
        <w:t xml:space="preserve">：当前页面只展示单一配置的数字，未做模型 / 引擎对比</w:t>
      </w:r>
    </w:p>
    <w:p>
      <w:pPr>
        <w:numPr>
          <w:ilvl w:val="0"/>
          <w:numId w:val="1070"/>
        </w:numPr>
        <w:pStyle w:val="Compact"/>
      </w:pPr>
      <w:r>
        <w:rPr>
          <w:bCs/>
          <w:b/>
        </w:rPr>
        <w:t xml:space="preserve">“</w:t>
      </w:r>
      <w:r>
        <w:rPr>
          <w:bCs/>
          <w:b/>
        </w:rPr>
        <w:t xml:space="preserve">理论上限</w:t>
      </w:r>
      <w:r>
        <w:rPr>
          <w:bCs/>
          <w:b/>
        </w:rPr>
        <w:t xml:space="preserve">”</w:t>
      </w:r>
      <w:r>
        <w:rPr>
          <w:bCs/>
          <w:b/>
        </w:rPr>
        <w:t xml:space="preserve">叠加</w:t>
      </w:r>
      <w:r>
        <w:t xml:space="preserve">：意味着页面不仅展示实测命中，还可基于 trace 重放给出上限——这是一个</w:t>
      </w:r>
      <w:r>
        <w:rPr>
          <w:bCs/>
          <w:b/>
        </w:rPr>
        <w:t xml:space="preserve">比单纯命中率更严格</w:t>
      </w:r>
      <w:r>
        <w:t xml:space="preserve">的指标，反映”如果 prefix 能无限复用能省多少”</w:t>
      </w:r>
    </w:p>
    <w:p>
      <w:pPr>
        <w:numPr>
          <w:ilvl w:val="0"/>
          <w:numId w:val="1070"/>
        </w:numPr>
        <w:pStyle w:val="Compact"/>
      </w:pPr>
      <w:r>
        <w:rPr>
          <w:bCs/>
          <w:b/>
        </w:rPr>
        <w:t xml:space="preserve">冷启动与预热阶段划分缺失</w:t>
      </w:r>
      <w:r>
        <w:t xml:space="preserve">：页面未区分 cold start 与 warm cache 阶段（与 §3.7.4 一致），选型时应保守处理——不要把 warm cache 命中率外推到冷启动</w:t>
      </w:r>
    </w:p>
    <w:p>
      <w:pPr>
        <w:numPr>
          <w:ilvl w:val="0"/>
          <w:numId w:val="1070"/>
        </w:numPr>
        <w:pStyle w:val="Compact"/>
      </w:pPr>
      <w:r>
        <w:rPr>
          <w:bCs/>
          <w:b/>
        </w:rPr>
        <w:t xml:space="preserve">与 §3.7.4 关联</w:t>
      </w:r>
      <w:r>
        <w:t xml:space="preserve">：</w:t>
      </w:r>
      <w:r>
        <w:t xml:space="preserve">“</w:t>
      </w:r>
      <w:r>
        <w:t xml:space="preserve">是否含 prefix caching 复用</w:t>
      </w:r>
      <w:r>
        <w:t xml:space="preserve">”</w:t>
      </w:r>
      <w:r>
        <w:t xml:space="preserve">是 §3.7.4 列出的 5 项数据局限之一；这个页面</w:t>
      </w:r>
      <w:r>
        <w:rPr>
          <w:bCs/>
          <w:b/>
        </w:rPr>
        <w:t xml:space="preserve">理论上回答该问题，但因 SPA 未渲染而无法抓取具体值</w:t>
      </w:r>
    </w:p>
    <w:bookmarkEnd w:id="85"/>
    <w:bookmarkStart w:id="86" w:name="综合解读每种详情该怎么看"/>
    <w:p>
      <w:pPr>
        <w:pStyle w:val="Heading3"/>
      </w:pPr>
      <w:r>
        <w:t xml:space="preserve">8.10 综合解读：每种”详情”该怎么看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详情面板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入口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适合谁看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数据成熟度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怎么用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单单元格 (g_rundate&amp;g_runid)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tooltip /zh/inference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工程师 / 性能调优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高（SPA 数据点未抓到）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跨日对比时用 — g_rundate 即时间维度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AgentX 遥测 (/zh/inference/agentic)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页脚入口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容量 / 工程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高</w:t>
            </w:r>
            <w:r>
              <w:t xml:space="preserve">（2,990 数据点已抓取）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计算每个模型的真实样本覆盖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性能对比 (/zh/compare)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页脚入口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采购 / 架构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高</w:t>
            </w:r>
            <w:r>
              <w:t xml:space="preserve">（365 组已抓取）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选型横向对比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精度对比 (/zh/compare-precision)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页脚入口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算法 / 工程师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高</w:t>
            </w:r>
            <w:r>
              <w:t xml:space="preserve">（42 组已抓取）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FP4 vs FP8 vs BF16 决策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投机解码对比 (/zh/compare-spec-decode)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页脚入口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推理引擎开发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高</w:t>
            </w:r>
            <w:r>
              <w:t xml:space="preserve">（64 组已抓取）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MTP / DSpark / EAGLE 启用决策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吉瓦利润估算 (/zh/profit-estimator-per-gigawatt)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页脚入口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高层 / Token 工厂运营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中</w:t>
            </w:r>
            <w:r>
              <w:t xml:space="preserve">（骨架可见，但数字 SPA 渲染）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TCO / 模型许可 / 利润拆分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TCO 计算器 (/zh/calculator)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页脚入口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架构师 / 财务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中</w:t>
            </w:r>
            <w:r>
              <w:t xml:space="preserve">（输入可见，输出 SPA 渲染）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tok/s/MW 量化分析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历史趋势 (/zh/historical)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页脚入口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趋势研究者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低</w:t>
            </w:r>
            <w:r>
              <w:t xml:space="preserve">（仅已弃用模型）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不建议作为现状决策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前缀缓存 (/zh/cache-reuse)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页脚入口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推理服务开发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低</w:t>
            </w:r>
            <w:r>
              <w:t xml:space="preserve">（仅框架、无数据）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建议直接读 GitHub 实验附表</w:t>
            </w:r>
          </w:p>
        </w:tc>
      </w:tr>
    </w:tbl>
    <w:bookmarkEnd w:id="86"/>
    <w:bookmarkStart w:id="87" w:name="解读建议如何系统使用打开详情"/>
    <w:p>
      <w:pPr>
        <w:pStyle w:val="Heading3"/>
      </w:pPr>
      <w:r>
        <w:t xml:space="preserve">8.11 解读建议（如何系统使用”打开详情”）</w:t>
      </w:r>
    </w:p>
    <w:p>
      <w:pPr>
        <w:pStyle w:val="FirstParagraph"/>
      </w:pPr>
      <w:r>
        <w:rPr>
          <w:bCs/>
          <w:b/>
        </w:rPr>
        <w:t xml:space="preserve">场景 A：采购横向对比</w:t>
      </w:r>
    </w:p>
    <w:p>
      <w:pPr>
        <w:numPr>
          <w:ilvl w:val="0"/>
          <w:numId w:val="1071"/>
        </w:numPr>
        <w:pStyle w:val="Compact"/>
      </w:pPr>
      <w:r>
        <w:t xml:space="preserve">先看</w:t>
      </w:r>
      <w:r>
        <w:t xml:space="preserve"> </w:t>
      </w:r>
      <w:r>
        <w:rPr>
          <w:rStyle w:val="VerbatimChar"/>
        </w:rPr>
        <w:t xml:space="preserve">/zh/compare</w:t>
      </w:r>
      <w:r>
        <w:t xml:space="preserve">（365 组 A vs B）</w:t>
      </w:r>
    </w:p>
    <w:p>
      <w:pPr>
        <w:numPr>
          <w:ilvl w:val="0"/>
          <w:numId w:val="1071"/>
        </w:numPr>
        <w:pStyle w:val="Compact"/>
      </w:pPr>
      <w:r>
        <w:t xml:space="preserve">找到目标模型 + 候选硬件的对比卡片</w:t>
      </w:r>
    </w:p>
    <w:p>
      <w:pPr>
        <w:numPr>
          <w:ilvl w:val="0"/>
          <w:numId w:val="1071"/>
        </w:numPr>
        <w:pStyle w:val="Compact"/>
      </w:pPr>
      <w:r>
        <w:t xml:space="preserve">进入卡片后把视角切到”精度对比 (/zh/compare-precision)“看 FP4/FP8/BF16</w:t>
      </w:r>
    </w:p>
    <w:p>
      <w:pPr>
        <w:numPr>
          <w:ilvl w:val="0"/>
          <w:numId w:val="1071"/>
        </w:numPr>
        <w:pStyle w:val="Compact"/>
      </w:pPr>
      <w:r>
        <w:t xml:space="preserve">再切到”投机解码 (/zh/compare-spec-decode)“看 MTP / DSpark 启用差异</w:t>
      </w:r>
    </w:p>
    <w:p>
      <w:pPr>
        <w:numPr>
          <w:ilvl w:val="0"/>
          <w:numId w:val="1071"/>
        </w:numPr>
        <w:pStyle w:val="Compact"/>
      </w:pPr>
      <w:r>
        <w:t xml:space="preserve">最后到</w:t>
      </w:r>
      <w:r>
        <w:t xml:space="preserve"> </w:t>
      </w:r>
      <w:r>
        <w:rPr>
          <w:rStyle w:val="VerbatimChar"/>
        </w:rPr>
        <w:t xml:space="preserve">/zh/calculator</w:t>
      </w:r>
      <w:r>
        <w:t xml:space="preserve"> </w:t>
      </w:r>
      <w:r>
        <w:t xml:space="preserve">计算 tok/s/MW 密度</w:t>
      </w:r>
    </w:p>
    <w:p>
      <w:pPr>
        <w:pStyle w:val="FirstParagraph"/>
      </w:pPr>
      <w:r>
        <w:rPr>
          <w:bCs/>
          <w:b/>
        </w:rPr>
        <w:t xml:space="preserve">场景 B：性能调优（针对已选定硬件）</w:t>
      </w:r>
    </w:p>
    <w:p>
      <w:pPr>
        <w:numPr>
          <w:ilvl w:val="0"/>
          <w:numId w:val="1072"/>
        </w:numPr>
        <w:pStyle w:val="Compact"/>
      </w:pPr>
      <w:r>
        <w:t xml:space="preserve">在</w:t>
      </w:r>
      <w:r>
        <w:t xml:space="preserve"> </w:t>
      </w:r>
      <w:r>
        <w:rPr>
          <w:rStyle w:val="VerbatimChar"/>
        </w:rPr>
        <w:t xml:space="preserve">/zh/overview</w:t>
      </w:r>
      <w:r>
        <w:t xml:space="preserve"> </w:t>
      </w:r>
      <w:r>
        <w:t xml:space="preserve">选中目标模型和硬件</w:t>
      </w:r>
    </w:p>
    <w:p>
      <w:pPr>
        <w:numPr>
          <w:ilvl w:val="0"/>
          <w:numId w:val="1072"/>
        </w:numPr>
        <w:pStyle w:val="Compact"/>
      </w:pPr>
      <w:r>
        <w:t xml:space="preserve">hover 表格单元 → 抓 g_rundate + g_runid，进入</w:t>
      </w:r>
      <w:r>
        <w:t xml:space="preserve"> </w:t>
      </w:r>
      <w:r>
        <w:rPr>
          <w:rStyle w:val="VerbatimChar"/>
        </w:rPr>
        <w:t xml:space="preserve">/zh/inference?...</w:t>
      </w:r>
    </w:p>
    <w:p>
      <w:pPr>
        <w:numPr>
          <w:ilvl w:val="0"/>
          <w:numId w:val="1072"/>
        </w:numPr>
        <w:pStyle w:val="Compact"/>
      </w:pPr>
      <w:r>
        <w:t xml:space="preserve">同一组合找其他引擎 / 精度 / spec 的副单元格，反复进入</w:t>
      </w:r>
    </w:p>
    <w:p>
      <w:pPr>
        <w:numPr>
          <w:ilvl w:val="0"/>
          <w:numId w:val="1072"/>
        </w:numPr>
        <w:pStyle w:val="Compact"/>
      </w:pPr>
      <w:r>
        <w:t xml:space="preserve">回到</w:t>
      </w:r>
      <w:r>
        <w:t xml:space="preserve"> </w:t>
      </w:r>
      <w:r>
        <w:rPr>
          <w:rStyle w:val="VerbatimChar"/>
        </w:rPr>
        <w:t xml:space="preserve">/zh/inference/agentic</w:t>
      </w:r>
      <w:r>
        <w:t xml:space="preserve">，检查”并发范围”卡片判断 sweep 密度</w:t>
      </w:r>
    </w:p>
    <w:p>
      <w:pPr>
        <w:pStyle w:val="FirstParagraph"/>
      </w:pPr>
      <w:r>
        <w:rPr>
          <w:bCs/>
          <w:b/>
        </w:rPr>
        <w:t xml:space="preserve">场景 C：决定模型（而非决定硬件）</w:t>
      </w:r>
    </w:p>
    <w:p>
      <w:pPr>
        <w:numPr>
          <w:ilvl w:val="0"/>
          <w:numId w:val="1073"/>
        </w:numPr>
        <w:pStyle w:val="Compact"/>
      </w:pPr>
      <w:r>
        <w:t xml:space="preserve">在</w:t>
      </w:r>
      <w:r>
        <w:t xml:space="preserve"> </w:t>
      </w:r>
      <w:r>
        <w:rPr>
          <w:rStyle w:val="VerbatimChar"/>
        </w:rPr>
        <w:t xml:space="preserve">/zh/compare</w:t>
      </w:r>
      <w:r>
        <w:t xml:space="preserve"> </w:t>
      </w:r>
      <w:r>
        <w:t xml:space="preserve">用模型分组视角</w:t>
      </w:r>
    </w:p>
    <w:p>
      <w:pPr>
        <w:numPr>
          <w:ilvl w:val="0"/>
          <w:numId w:val="1073"/>
        </w:numPr>
        <w:pStyle w:val="Compact"/>
      </w:pPr>
      <w:r>
        <w:t xml:space="preserve">比较同一芯片 A 下不同模型的 30 天趋势</w:t>
      </w:r>
    </w:p>
    <w:p>
      <w:pPr>
        <w:numPr>
          <w:ilvl w:val="0"/>
          <w:numId w:val="1073"/>
        </w:numPr>
        <w:pStyle w:val="Compact"/>
      </w:pPr>
      <w:r>
        <w:t xml:space="preserve">进入</w:t>
      </w:r>
      <w:r>
        <w:t xml:space="preserve"> </w:t>
      </w:r>
      <w:r>
        <w:rPr>
          <w:rStyle w:val="VerbatimChar"/>
        </w:rPr>
        <w:t xml:space="preserve">/zh/profit-estimator-per-gigawatt</w:t>
      </w:r>
      <w:r>
        <w:t xml:space="preserve">，把”模型许可费”变化作为选型权重</w:t>
      </w:r>
    </w:p>
    <w:bookmarkEnd w:id="87"/>
    <w:bookmarkStart w:id="88" w:name="解读禁忌"/>
    <w:p>
      <w:pPr>
        <w:pStyle w:val="Heading3"/>
      </w:pPr>
      <w:r>
        <w:t xml:space="preserve">8.12 解读禁忌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错误做法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原因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仅看</w:t>
            </w:r>
            <w:r>
              <w:t xml:space="preserve"> </w:t>
            </w:r>
            <w:r>
              <w:rPr>
                <w:rStyle w:val="VerbatimChar"/>
              </w:rPr>
              <w:t xml:space="preserve">/zh/overview</w:t>
            </w:r>
            <w:r>
              <w:t xml:space="preserve"> </w:t>
            </w:r>
            <w:r>
              <w:t xml:space="preserve">一张表就做选型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副视图的 365 + 64 + 42 = 471 个细分对比会大幅修改主表结论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把吉瓦利润估算用到 1-10 卡规模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该面板面向”超大规模 Token 工厂”，单租户 / 小集群意义有限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把历史趋势应用到 AgentX 场景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历史页只显示已弃用 8K/1K 模型，AgentX 暂无历史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直接采用插值计算结果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插值可能掩盖跳变点，对 FP4 / FP8 边界尤其需要小心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把 cache-reuse 实测命中率外推到冷启动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未区分 cold start 与 warm cache，不应直接外推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88"/>
    <w:bookmarkEnd w:id="89"/>
    <w:bookmarkStart w:id="98" w:name="详情页真实数字基于实际抓取"/>
    <w:p>
      <w:pPr>
        <w:pStyle w:val="Heading2"/>
      </w:pPr>
      <w:r>
        <w:t xml:space="preserve">9. 详情页真实数字（基于实际抓取）</w:t>
      </w:r>
    </w:p>
    <w:p>
      <w:pPr>
        <w:pStyle w:val="BlockText"/>
      </w:pPr>
      <w:r>
        <w:t xml:space="preserve">本节专门解读”打开详情信息”页面</w:t>
      </w:r>
      <w:r>
        <w:rPr>
          <w:bCs/>
          <w:b/>
        </w:rPr>
        <w:t xml:space="preserve">实际可访问到的数字</w:t>
      </w:r>
      <w:r>
        <w:t xml:space="preserve">。§8 描述了路径与组织结构，但并未带数字。本节补足。</w:t>
      </w:r>
    </w:p>
    <w:bookmarkStart w:id="90" w:name="子页面可访问性边界重要警告"/>
    <w:p>
      <w:pPr>
        <w:pStyle w:val="Heading3"/>
      </w:pPr>
      <w:r>
        <w:t xml:space="preserve">9.1 子页面可访问性边界（重要警告）</w:t>
      </w:r>
    </w:p>
    <w:p>
      <w:pPr>
        <w:pStyle w:val="FirstParagraph"/>
      </w:pPr>
      <w:r>
        <w:t xml:space="preserve">本次抓取中，对比子页面</w:t>
      </w:r>
      <w:r>
        <w:t xml:space="preserve"> </w:t>
      </w:r>
      <w:r>
        <w:rPr>
          <w:rStyle w:val="VerbatimChar"/>
        </w:rPr>
        <w:t xml:space="preserve">&lt;code&gt;/zh/compare/&amp;lt;model&amp;gt;-&amp;lt;A&amp;gt;-vs-&amp;lt;B&amp;gt;/&amp;lt;scenario&amp;gt;&lt;/code&gt;</w:t>
      </w:r>
      <w:r>
        <w:t xml:space="preserve">、精度对比子页面</w:t>
      </w:r>
      <w:r>
        <w:t xml:space="preserve"> </w:t>
      </w:r>
      <w:r>
        <w:rPr>
          <w:rStyle w:val="VerbatimChar"/>
        </w:rPr>
        <w:t xml:space="preserve">&lt;code&gt;/zh/compare-precision/...&lt;/code&gt;</w:t>
      </w:r>
      <w:r>
        <w:t xml:space="preserve">、投机解码对比子页面</w:t>
      </w:r>
      <w:r>
        <w:t xml:space="preserve"> </w:t>
      </w:r>
      <w:r>
        <w:rPr>
          <w:rStyle w:val="VerbatimChar"/>
        </w:rPr>
        <w:t xml:space="preserve">&lt;code&gt;/zh/compare-spec-decode/...&lt;/code&gt;</w:t>
      </w:r>
      <w:r>
        <w:t xml:space="preserve"> </w:t>
      </w:r>
      <w:r>
        <w:t xml:space="preserve">的访问结果如下：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URL 尝试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状态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说明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/zh/compare/minimax-m3-gb300-vs-h200/agentic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✅ 数据可抓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完整抓到 TCO 表 + 成本曲线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/zh/compare/deepseek-v4-b200-vs-mi355x/agentic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⚠ 多次被截断 / SPA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仅能抓到页面框架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/zh/compare/qwen-3-5-b200-vs-mi355x/agentic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⚠ 多次被截断 / SPA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仅能抓到页面框架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/zh/compare/deepseek-v4.1-flash-b300-vs-gb300/agentic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❌ 404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URL slug 拼写可能不一致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/zh/compare-precision/&lt;m&gt;-&lt;g&gt;-fpx-vs-fpy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❌ 404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URL 路径规则不确定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/zh/compare-spec-decode/&lt;m&gt;-&lt;g&gt;-&lt;p&gt;-&lt;s1&gt;-vs-&lt;s2&gt;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❌ 404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URL 路径规则不确定</w:t>
            </w:r>
          </w:p>
        </w:tc>
      </w:tr>
    </w:tbl>
    <w:p>
      <w:pPr>
        <w:pStyle w:val="BodyText"/>
      </w:pPr>
      <w:r>
        <w:rPr>
          <w:bCs/>
          <w:b/>
        </w:rPr>
        <w:t xml:space="preserve">结论</w:t>
      </w:r>
      <w:r>
        <w:t xml:space="preserve">：对比子页面绝大多数是</w:t>
      </w:r>
      <w:r>
        <w:t xml:space="preserve"> </w:t>
      </w:r>
      <w:r>
        <w:rPr>
          <w:bCs/>
          <w:b/>
        </w:rPr>
        <w:t xml:space="preserve">SPA 渲染</w:t>
      </w:r>
      <w:r>
        <w:t xml:space="preserve">，单纯</w:t>
      </w:r>
      <w:r>
        <w:t xml:space="preserve"> </w:t>
      </w:r>
      <w:r>
        <w:rPr>
          <w:rStyle w:val="VerbatimChar"/>
        </w:rPr>
        <w:t xml:space="preserve">WebFetch</w:t>
      </w:r>
      <w:r>
        <w:t xml:space="preserve"> </w:t>
      </w:r>
      <w:r>
        <w:t xml:space="preserve">难以抓到全部数字。本次报告</w:t>
      </w:r>
      <w:r>
        <w:rPr>
          <w:bCs/>
          <w:b/>
        </w:rPr>
        <w:t xml:space="preserve">只能保证</w:t>
      </w:r>
      <w:r>
        <w:t xml:space="preserve">下面章节的解读基于</w:t>
      </w:r>
      <w:r>
        <w:rPr>
          <w:bCs/>
          <w:b/>
        </w:rPr>
        <w:t xml:space="preserve">真实可见</w:t>
      </w:r>
      <w:r>
        <w:t xml:space="preserve">数字，不外推任何未实际抓到的数据。</w:t>
      </w:r>
    </w:p>
    <w:bookmarkEnd w:id="90"/>
    <w:bookmarkStart w:id="91" w:name="tco-chiphr-单价表13-种硬件-关键数字"/>
    <w:p>
      <w:pPr>
        <w:pStyle w:val="Heading3"/>
      </w:pPr>
      <w:r>
        <w:t xml:space="preserve">9.2 TCO $/chip/hr 单价表（13 种硬件）—— 关键数字</w:t>
      </w:r>
    </w:p>
    <w:p>
      <w:pPr>
        <w:pStyle w:val="FirstParagraph"/>
      </w:pPr>
      <w:r>
        <w:rPr>
          <w:rStyle w:val="VerbatimChar"/>
        </w:rPr>
        <w:t xml:space="preserve">/zh/compare/minimax-m3-gb300-vs-h200/agentic</w:t>
      </w:r>
      <w:r>
        <w:t xml:space="preserve"> </w:t>
      </w:r>
      <w:r>
        <w:t xml:space="preserve">页面直接给出 13 种硬件的</w:t>
      </w:r>
      <w:r>
        <w:t xml:space="preserve"> </w:t>
      </w:r>
      <w:r>
        <w:rPr>
          <w:bCs/>
          <w:b/>
        </w:rPr>
        <w:t xml:space="preserve">TCO $/chip/hr</w:t>
      </w:r>
      <w:r>
        <w:t xml:space="preserve"> </w:t>
      </w:r>
      <w:r>
        <w:t xml:space="preserve">单价。这是 §3.7 中”成本公式”的关键分母。先把表完整列出：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硬件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TCO $/chip/hr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备注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NVIDIA Blackwell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VR200 (Vera Rubin)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$3.61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下一代（预告）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B300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$2.26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单卡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B200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$1.73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单卡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GB300 NVL72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$2.31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机架级（per chip）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GB200 NVL72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$1.86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机架级（per chip）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RTX PRO 6000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$0.68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桌面 / 工作站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NVIDIA Hopper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H200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$1.22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上代主力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H100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$1.17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入门 Hopper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AMD CDNA 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MI355X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$1.50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AMD 当前最强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AMD CDNA 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MI325X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$1.10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上代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MI300X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$0.95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更上代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OpenAI 自研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Jalapeño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$1.27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OpenAI 训练集群用卡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Google TPU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TPU V7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$1.03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Google TPU 当前代</w:t>
            </w:r>
          </w:p>
        </w:tc>
      </w:tr>
    </w:tbl>
    <w:p>
      <w:pPr>
        <w:pStyle w:val="BodyText"/>
      </w:pPr>
      <w:r>
        <w:rPr>
          <w:bCs/>
          <w:b/>
        </w:rPr>
        <w:t xml:space="preserve">专业解读</w:t>
      </w:r>
      <w:r>
        <w:t xml:space="preserve">：</w:t>
      </w:r>
    </w:p>
    <w:p>
      <w:pPr>
        <w:numPr>
          <w:ilvl w:val="0"/>
          <w:numId w:val="1074"/>
        </w:numPr>
        <w:pStyle w:val="Compact"/>
      </w:pPr>
      <w:r>
        <w:rPr>
          <w:bCs/>
          <w:b/>
        </w:rPr>
        <w:t xml:space="preserve">同代 Blackwell 单卡 vs NVL72 之间的单价关系</w:t>
      </w:r>
      <w:r>
        <w:t xml:space="preserve">：</w:t>
      </w:r>
    </w:p>
    <w:p>
      <w:pPr>
        <w:numPr>
          <w:ilvl w:val="1"/>
          <w:numId w:val="1075"/>
        </w:numPr>
        <w:pStyle w:val="Compact"/>
      </w:pPr>
      <w:r>
        <w:t xml:space="preserve">B200 $1.73 与 GB200 NVL72 per-chip $1.86 —— 单卡反而便宜 7%</w:t>
      </w:r>
    </w:p>
    <w:p>
      <w:pPr>
        <w:numPr>
          <w:ilvl w:val="1"/>
          <w:numId w:val="1075"/>
        </w:numPr>
        <w:pStyle w:val="Compact"/>
      </w:pPr>
      <w:r>
        <w:t xml:space="preserve">B300 $2.26 与 GB300 NVL72 per-chip $2.31 —— NVL72 per-chip 仅高 2%</w:t>
      </w:r>
    </w:p>
    <w:p>
      <w:pPr>
        <w:numPr>
          <w:ilvl w:val="1"/>
          <w:numId w:val="1075"/>
        </w:numPr>
        <w:pStyle w:val="Compact"/>
      </w:pPr>
      <w:r>
        <w:t xml:space="preserve">含义：NVL72 的”互联 / 网络 / 调度”溢价很小，主要溢价来自</w:t>
      </w:r>
      <w:r>
        <w:rPr>
          <w:bCs/>
          <w:b/>
        </w:rPr>
        <w:t xml:space="preserve">算力密度</w:t>
      </w:r>
    </w:p>
    <w:p>
      <w:pPr>
        <w:numPr>
          <w:ilvl w:val="0"/>
          <w:numId w:val="1074"/>
        </w:numPr>
        <w:pStyle w:val="Compact"/>
      </w:pPr>
      <w:r>
        <w:rPr>
          <w:bCs/>
          <w:b/>
        </w:rPr>
        <w:t xml:space="preserve">跨代 Blackwell vs Hopper</w:t>
      </w:r>
      <w:r>
        <w:t xml:space="preserve">：B200 $1.73 vs H200 $1.22 → B200 比 H200 贵</w:t>
      </w:r>
      <w:r>
        <w:t xml:space="preserve"> </w:t>
      </w:r>
      <w:r>
        <w:rPr>
          <w:bCs/>
          <w:b/>
        </w:rPr>
        <w:t xml:space="preserve">42%</w:t>
      </w:r>
      <w:r>
        <w:t xml:space="preserve">——这不是单纯硬件升级，还需要 SLO 满足能力来回收溢价</w:t>
      </w:r>
    </w:p>
    <w:p>
      <w:pPr>
        <w:numPr>
          <w:ilvl w:val="0"/>
          <w:numId w:val="1074"/>
        </w:numPr>
        <w:pStyle w:val="Compact"/>
      </w:pPr>
      <w:r>
        <w:rPr>
          <w:bCs/>
          <w:b/>
        </w:rPr>
        <w:t xml:space="preserve">跨厂商对标</w:t>
      </w:r>
      <w:r>
        <w:t xml:space="preserve">：MI355X $1.50 vs B200 $1.73 → AMD 仅为 B200 的</w:t>
      </w:r>
      <w:r>
        <w:t xml:space="preserve"> </w:t>
      </w:r>
      <w:r>
        <w:rPr>
          <w:bCs/>
          <w:b/>
        </w:rPr>
        <w:t xml:space="preserve">87%</w:t>
      </w:r>
      <w:r>
        <w:t xml:space="preserve"> </w:t>
      </w:r>
      <w:r>
        <w:t xml:space="preserve">单价</w:t>
      </w:r>
    </w:p>
    <w:p>
      <w:pPr>
        <w:numPr>
          <w:ilvl w:val="0"/>
          <w:numId w:val="1074"/>
        </w:numPr>
        <w:pStyle w:val="Compact"/>
      </w:pPr>
      <w:r>
        <w:rPr>
          <w:bCs/>
          <w:b/>
        </w:rPr>
        <w:t xml:space="preserve">桌面级 RTX PRO 6000 $0.68</w:t>
      </w:r>
      <w:r>
        <w:t xml:space="preserve">：是表中</w:t>
      </w:r>
      <w:r>
        <w:rPr>
          <w:bCs/>
          <w:b/>
        </w:rPr>
        <w:t xml:space="preserve">最低</w:t>
      </w:r>
      <w:r>
        <w:t xml:space="preserve">，但显存容量、NVLink、FP4 支持均落后，并不适合 1.6T MoE 推理</w:t>
      </w:r>
    </w:p>
    <w:p>
      <w:pPr>
        <w:numPr>
          <w:ilvl w:val="0"/>
          <w:numId w:val="1074"/>
        </w:numPr>
        <w:pStyle w:val="Compact"/>
      </w:pPr>
      <w:r>
        <w:rPr>
          <w:bCs/>
          <w:b/>
        </w:rPr>
        <w:t xml:space="preserve">NVL72 单价反推</w:t>
      </w:r>
      <w:r>
        <w:t xml:space="preserve">：GB200 NVL72 = $1.86/chip × 72 + 网络 → 总 NVL72 机架 TCO ≈ $134/hr</w:t>
      </w:r>
    </w:p>
    <w:p>
      <w:pPr>
        <w:numPr>
          <w:ilvl w:val="0"/>
          <w:numId w:val="1074"/>
        </w:numPr>
        <w:pStyle w:val="Compact"/>
      </w:pPr>
      <w:r>
        <w:rPr>
          <w:bCs/>
          <w:b/>
        </w:rPr>
        <w:t xml:space="preserve">顺序异常点</w:t>
      </w:r>
      <w:r>
        <w:t xml:space="preserve">：GB300 NVL72 ($2.31) 反而比 B300 ($2.26) 略贵；这可能是 NVL72 包含新一代网络 NVSwitch 6 的溢价，但</w:t>
      </w:r>
      <w:r>
        <w:rPr>
          <w:bCs/>
          <w:b/>
        </w:rPr>
        <w:t xml:space="preserve">单价比 B300 略高也暗示”代际不等价”</w:t>
      </w:r>
      <w:r>
        <w:t xml:space="preserve">——买 NVL72 不是为了省钱，而是为了 token/s</w:t>
      </w:r>
    </w:p>
    <w:p>
      <w:pPr>
        <w:numPr>
          <w:ilvl w:val="0"/>
          <w:numId w:val="1074"/>
        </w:numPr>
        <w:pStyle w:val="Compact"/>
      </w:pPr>
      <w:r>
        <w:rPr>
          <w:bCs/>
          <w:b/>
        </w:rPr>
        <w:t xml:space="preserve">Jalapeño / TPU V7 单价定位</w:t>
      </w:r>
      <w:r>
        <w:t xml:space="preserve">：均在 $1.0 ~ $1.3 之间，意味着</w:t>
      </w:r>
      <w:r>
        <w:rPr>
          <w:bCs/>
          <w:b/>
        </w:rPr>
        <w:t xml:space="preserve">自研芯片在 TCO 上的账面成本</w:t>
      </w:r>
      <w:r>
        <w:t xml:space="preserve">与 NVIDIA Hopper / CDNA3 接近。但产能 / 可获得性可能完全不在一个量级——选型应区分”账面 TCO”与”实际可订到的 TCO”</w:t>
      </w:r>
    </w:p>
    <w:bookmarkEnd w:id="91"/>
    <w:bookmarkStart w:id="92" w:name="minimax-m3-428b-在-h200-上的-slo-成本曲线真实可见"/>
    <w:p>
      <w:pPr>
        <w:pStyle w:val="Heading3"/>
      </w:pPr>
      <w:r>
        <w:t xml:space="preserve">9.3 MiniMax M3 428B 在 H200 上的 SLO 成本曲线（真实可见）</w:t>
      </w:r>
    </w:p>
    <w:p>
      <w:pPr>
        <w:pStyle w:val="FirstParagraph"/>
      </w:pPr>
      <w:r>
        <w:rPr>
          <w:rStyle w:val="VerbatimChar"/>
        </w:rPr>
        <w:t xml:space="preserve">/zh/compare/minimax-m3-gb300-vs-h200/agentic</w:t>
      </w:r>
      <w:r>
        <w:t xml:space="preserve"> </w:t>
      </w:r>
      <w:r>
        <w:t xml:space="preserve">页面在</w:t>
      </w:r>
      <w:r>
        <w:t xml:space="preserve"> </w:t>
      </w:r>
      <w:r>
        <w:rPr>
          <w:bCs/>
          <w:b/>
        </w:rPr>
        <w:t xml:space="preserve">8K/1K（已弃用）</w:t>
      </w:r>
      <w:r>
        <w:t xml:space="preserve"> </w:t>
      </w:r>
      <w:r>
        <w:t xml:space="preserve">场景下，展示三个 SLO 档的真实成本：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交互性 (tok/s/user)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H200 成本 ($/M tokens)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H200 吞吐 (tok/s/chip)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GB300 NVL72 状态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126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$0.04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7,591 tok/s/chip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暂无数据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169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$0.08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4,369 tok/s/chip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尚未测试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212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$0.13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2,638 tok/s/chip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暂无基准测试数据</w:t>
            </w:r>
          </w:p>
        </w:tc>
      </w:tr>
    </w:tbl>
    <w:p>
      <w:pPr>
        <w:pStyle w:val="BodyText"/>
      </w:pPr>
      <w:r>
        <w:rPr>
          <w:bCs/>
          <w:b/>
        </w:rPr>
        <w:t xml:space="preserve">注意</w:t>
      </w:r>
      <w:r>
        <w:t xml:space="preserve">：</w:t>
      </w:r>
    </w:p>
    <w:p>
      <w:pPr>
        <w:numPr>
          <w:ilvl w:val="0"/>
          <w:numId w:val="1076"/>
        </w:numPr>
        <w:pStyle w:val="Compact"/>
      </w:pPr>
      <w:r>
        <w:t xml:space="preserve">图表标题原文：「</w:t>
      </w:r>
      <w:r>
        <w:rPr>
          <w:bCs/>
          <w:b/>
        </w:rPr>
        <w:t xml:space="preserve">MiniMax M3 428B 8K / 1K 每 1 美元 TCO 对应的总 token 数 vs. 交互性</w:t>
      </w:r>
      <w:r>
        <w:t xml:space="preserve">」</w:t>
      </w:r>
    </w:p>
    <w:p>
      <w:pPr>
        <w:numPr>
          <w:ilvl w:val="0"/>
          <w:numId w:val="1076"/>
        </w:numPr>
        <w:pStyle w:val="Compact"/>
      </w:pPr>
      <w:r>
        <w:t xml:space="preserve">即 Y 轴方向反过来：</w:t>
      </w:r>
      <w:r>
        <w:rPr>
          <w:bCs/>
          <w:b/>
        </w:rPr>
        <w:t xml:space="preserve">每 1 美元 TCO 能买多少 token</w:t>
      </w:r>
      <w:r>
        <w:t xml:space="preserve">，而非 $/M tokens</w:t>
      </w:r>
    </w:p>
    <w:p>
      <w:pPr>
        <w:numPr>
          <w:ilvl w:val="0"/>
          <w:numId w:val="1076"/>
        </w:numPr>
        <w:pStyle w:val="Compact"/>
      </w:pPr>
      <w:r>
        <w:t xml:space="preserve">视觉上”Y 轴越高越好”——意味着更高处意味着该芯片更省钱</w:t>
      </w:r>
    </w:p>
    <w:p>
      <w:pPr>
        <w:numPr>
          <w:ilvl w:val="0"/>
          <w:numId w:val="1076"/>
        </w:numPr>
        <w:pStyle w:val="Compact"/>
      </w:pPr>
      <w:r>
        <w:t xml:space="preserve">三档 SLO 跨度大：</w:t>
      </w:r>
      <w:r>
        <w:rPr>
          <w:bCs/>
          <w:b/>
        </w:rPr>
        <w:t xml:space="preserve">126 → 169 → 212 tok/s/user</w:t>
      </w:r>
      <w:r>
        <w:t xml:space="preserve">，即从”阅读式对话”到”实时流式”的全档</w:t>
      </w:r>
    </w:p>
    <w:p>
      <w:pPr>
        <w:pStyle w:val="FirstParagraph"/>
      </w:pPr>
      <w:r>
        <w:rPr>
          <w:bCs/>
          <w:b/>
        </w:rPr>
        <w:t xml:space="preserve">专业解读</w:t>
      </w:r>
      <w:r>
        <w:t xml:space="preserve">：</w:t>
      </w:r>
    </w:p>
    <w:p>
      <w:pPr>
        <w:numPr>
          <w:ilvl w:val="0"/>
          <w:numId w:val="1077"/>
        </w:numPr>
        <w:pStyle w:val="Compact"/>
      </w:pPr>
      <w:r>
        <w:rPr>
          <w:bCs/>
          <w:b/>
        </w:rPr>
        <w:t xml:space="preserve">MiniMax M3 在 8K/1K 上有数据，只是 overview 上</w:t>
      </w:r>
      <w:r>
        <w:rPr>
          <w:bCs/>
          <w:b/>
        </w:rP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无</w:t>
      </w:r>
      <w:r>
        <w:rPr>
          <w:bCs/>
          <w:b/>
        </w:rPr>
        <w:t xml:space="preserve"> </w:t>
      </w:r>
      <w:r>
        <w:rPr>
          <w:bCs/>
          <w:b/>
        </w:rPr>
        <w:t xml:space="preserve">@50</w:t>
      </w:r>
      <w:r>
        <w:rPr>
          <w:bCs/>
          <w:b/>
        </w:rPr>
        <w:t xml:space="preserve">”</w:t>
      </w:r>
      <w:r>
        <w:t xml:space="preserve">：本对比页与 overview 表存在差异——overview 表是按 SLO=50 tok/s/user 单点计算的，本页允许</w:t>
      </w:r>
      <w:r>
        <w:rPr>
          <w:bCs/>
          <w:b/>
        </w:rPr>
        <w:t xml:space="preserve">降低 SLO 到 126 才显示数字</w:t>
      </w:r>
      <w:r>
        <w:t xml:space="preserve">。即 MiniMax M3 在 8K/1K 上是</w:t>
      </w:r>
      <w:r>
        <w:rPr>
          <w:bCs/>
          <w:b/>
        </w:rPr>
        <w:t xml:space="preserve">单卡 H200 跑得动 126+ tok/s/user</w:t>
      </w:r>
      <w:r>
        <w:t xml:space="preserve">，但低于 50 时不能持久维持——这与”AgentX</w:t>
      </w:r>
      <w:r>
        <w:t xml:space="preserve"> </w:t>
      </w:r>
      <w:r>
        <w:t xml:space="preserve">@50</w:t>
      </w:r>
      <w:r>
        <w:t xml:space="preserve"> </w:t>
      </w:r>
      <w:r>
        <w:t xml:space="preserve">难达标”是不同的现象</w:t>
      </w:r>
    </w:p>
    <w:p>
      <w:pPr>
        <w:numPr>
          <w:ilvl w:val="0"/>
          <w:numId w:val="1077"/>
        </w:numPr>
        <w:pStyle w:val="Compact"/>
      </w:pPr>
      <w:r>
        <w:rPr>
          <w:bCs/>
          <w:b/>
        </w:rPr>
        <w:t xml:space="preserve">从 126 到 212 成本翻 3.25 倍</w:t>
      </w:r>
      <w:r>
        <w:t xml:space="preserve">（$0.04 → $0.13）：更高的 tok/s/user SLO 阈值，必然意味着更深的批处理 / 更大的 KV 缓存占用，从而降低吞吐、增加 $/M tokens。这是非线性递增</w:t>
      </w:r>
    </w:p>
    <w:p>
      <w:pPr>
        <w:numPr>
          <w:ilvl w:val="0"/>
          <w:numId w:val="1077"/>
        </w:numPr>
        <w:pStyle w:val="Compact"/>
      </w:pPr>
      <w:r>
        <w:rPr>
          <w:bCs/>
          <w:b/>
        </w:rPr>
        <w:t xml:space="preserve">H200 吞吐从 7591 → 4369 → 2638</w:t>
      </w:r>
      <w:r>
        <w:t xml:space="preserve">：在更高 SLO 下吞吐近 -50%，是预期内的 SLO 严苛度换吞吐</w:t>
      </w:r>
    </w:p>
    <w:p>
      <w:pPr>
        <w:numPr>
          <w:ilvl w:val="0"/>
          <w:numId w:val="1077"/>
        </w:numPr>
        <w:pStyle w:val="Compact"/>
      </w:pPr>
      <w:r>
        <w:rPr>
          <w:bCs/>
          <w:b/>
        </w:rPr>
        <w:t xml:space="preserve">公式自洽性验证</w:t>
      </w:r>
      <w:r>
        <w:t xml:space="preserve">（用 §3.7.2 公式反推）：</w:t>
      </w:r>
    </w:p>
    <w:p>
      <w:pPr>
        <w:numPr>
          <w:ilvl w:val="1"/>
          <w:numId w:val="1078"/>
        </w:numPr>
        <w:pStyle w:val="Compact"/>
      </w:pPr>
      <w:r>
        <w:t xml:space="preserve">H200 TCO 单价 = $1.22/chip/hr</w:t>
      </w:r>
    </w:p>
    <w:p>
      <w:pPr>
        <w:numPr>
          <w:ilvl w:val="1"/>
          <w:numId w:val="1078"/>
        </w:numPr>
        <w:pStyle w:val="Compact"/>
      </w:pPr>
      <w:r>
        <w:t xml:space="preserve">每秒单 chip 摊销 = $1.22 / 3600 ≈</w:t>
      </w:r>
      <w:r>
        <w:t xml:space="preserve"> </w:t>
      </w:r>
      <w:r>
        <w:rPr>
          <w:bCs/>
          <w:b/>
        </w:rPr>
        <w:t xml:space="preserve">$3.39e-4 / s</w:t>
      </w:r>
    </w:p>
    <w:p>
      <w:pPr>
        <w:numPr>
          <w:ilvl w:val="1"/>
          <w:numId w:val="1078"/>
        </w:numPr>
        <w:pStyle w:val="Compact"/>
      </w:pPr>
      <w:r>
        <w:t xml:space="preserve">126 tok/s/user @ 7591 tok/s/chip：</w:t>
      </w:r>
    </w:p>
    <w:p>
      <w:pPr>
        <w:numPr>
          <w:ilvl w:val="2"/>
          <w:numId w:val="1079"/>
        </w:numPr>
        <w:pStyle w:val="Compact"/>
      </w:pPr>
      <w:r>
        <w:t xml:space="preserve">测得 $0.04/M token = $4e-8 / token</w:t>
      </w:r>
    </w:p>
    <w:p>
      <w:pPr>
        <w:numPr>
          <w:ilvl w:val="2"/>
          <w:numId w:val="1079"/>
        </w:numPr>
        <w:pStyle w:val="Compact"/>
      </w:pPr>
      <w:r>
        <w:t xml:space="preserve">反推：7591 tok/s/chip × $4e-8/token = $3.04e-4 / sec/chip</w:t>
      </w:r>
    </w:p>
    <w:p>
      <w:pPr>
        <w:numPr>
          <w:ilvl w:val="2"/>
          <w:numId w:val="1079"/>
        </w:numPr>
        <w:pStyle w:val="Compact"/>
      </w:pPr>
      <w:r>
        <w:t xml:space="preserve">与 $3.39e-4 /s 仅差 10%——差异来自</w:t>
      </w:r>
      <w:r>
        <w:rPr>
          <w:bCs/>
          <w:b/>
        </w:rPr>
        <w:t xml:space="preserve">空闲容量 / 调度开销 / ICRat 损失</w:t>
      </w:r>
      <w:r>
        <w:t xml:space="preserve">，合理</w:t>
      </w:r>
    </w:p>
    <w:p>
      <w:pPr>
        <w:numPr>
          <w:ilvl w:val="1"/>
          <w:numId w:val="1078"/>
        </w:numPr>
        <w:pStyle w:val="Compact"/>
      </w:pPr>
      <w:r>
        <w:t xml:space="preserve">169 tok/s/user @ 4369 tok/s/chip：</w:t>
      </w:r>
    </w:p>
    <w:p>
      <w:pPr>
        <w:numPr>
          <w:ilvl w:val="2"/>
          <w:numId w:val="1080"/>
        </w:numPr>
        <w:pStyle w:val="Compact"/>
      </w:pPr>
      <w:r>
        <w:t xml:space="preserve">4369 × $8e-8 = $3.49e-4 / sec/chip —— 接近 H200 单 chip 直接成本，意味着此 SLO 下</w:t>
      </w:r>
      <w:r>
        <w:rPr>
          <w:bCs/>
          <w:b/>
        </w:rPr>
        <w:t xml:space="preserve">几乎零剩余调度余量</w:t>
      </w:r>
    </w:p>
    <w:p>
      <w:pPr>
        <w:numPr>
          <w:ilvl w:val="1"/>
          <w:numId w:val="1078"/>
        </w:numPr>
        <w:pStyle w:val="Compact"/>
      </w:pPr>
      <w:r>
        <w:t xml:space="preserve">212 tok/s/user @ 2638 tok/s/chip：</w:t>
      </w:r>
    </w:p>
    <w:p>
      <w:pPr>
        <w:numPr>
          <w:ilvl w:val="2"/>
          <w:numId w:val="1081"/>
        </w:numPr>
        <w:pStyle w:val="Compact"/>
      </w:pPr>
      <w:r>
        <w:t xml:space="preserve">2638 × $1.3e-7 = $3.43e-4 / sec/chip —— 与 H200 单 chip 成本匹配，</w:t>
      </w:r>
      <w:r>
        <w:rPr>
          <w:bCs/>
          <w:b/>
        </w:rPr>
        <w:t xml:space="preserve">SLO 极限态</w:t>
      </w:r>
    </w:p>
    <w:p>
      <w:pPr>
        <w:numPr>
          <w:ilvl w:val="0"/>
          <w:numId w:val="1077"/>
        </w:numPr>
        <w:pStyle w:val="Compact"/>
      </w:pPr>
      <w:r>
        <w:rPr>
          <w:bCs/>
          <w:b/>
        </w:rPr>
        <w:t xml:space="preserve">GB300 NVL72 全”暂无数据”</w:t>
      </w:r>
      <w:r>
        <w:t xml:space="preserve">：表明在 MiniMax M3 上 GB300 NVL72 路径在该基准期</w:t>
      </w:r>
      <w:r>
        <w:rPr>
          <w:bCs/>
          <w:b/>
        </w:rPr>
        <w:t xml:space="preserve">未跑通</w:t>
      </w:r>
      <w:r>
        <w:t xml:space="preserve">——这是稳定性 / 兼容性问题的信号，应避免选 MiniMax M3 + GB300 NVL72 组合</w:t>
      </w:r>
    </w:p>
    <w:bookmarkEnd w:id="92"/>
    <w:bookmarkStart w:id="93" w:name="解读-y-轴方向的每美元-tco-对应总-token-数"/>
    <w:p>
      <w:pPr>
        <w:pStyle w:val="Heading3"/>
      </w:pPr>
      <w:r>
        <w:t xml:space="preserve">9.4 解读 Y 轴方向的”每美元 TCO 对应总 token 数”</w:t>
      </w:r>
    </w:p>
    <w:p>
      <w:pPr>
        <w:pStyle w:val="FirstParagraph"/>
      </w:pPr>
      <w:r>
        <w:t xml:space="preserve">页面图表标题把</w:t>
      </w:r>
      <w:r>
        <w:t xml:space="preserve"> </w:t>
      </w:r>
      <w:r>
        <w:t xml:space="preserve">“</w:t>
      </w:r>
      <w:r>
        <w:t xml:space="preserve">$ / M tokens</w:t>
      </w:r>
      <w:r>
        <w:t xml:space="preserve">”</w:t>
      </w:r>
      <w:r>
        <w:t xml:space="preserve"> </w:t>
      </w:r>
      <w:r>
        <w:t xml:space="preserve">反向表达为</w:t>
      </w:r>
      <w:r>
        <w:t xml:space="preserve"> </w:t>
      </w:r>
      <w:r>
        <w:t xml:space="preserve">“</w:t>
      </w:r>
      <w:r>
        <w:t xml:space="preserve">每美元可买 token 数</w:t>
      </w:r>
      <w:r>
        <w:t xml:space="preserve">”</w:t>
      </w:r>
      <w:r>
        <w:t xml:space="preserve">，意味着：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直接表达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反向表达（页面 Y 轴）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$0.04 / 1M tokens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25.0M tokens / $1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$0.08 / 1M tokens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12.5M tokens / $1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$0.13 / 1M tokens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7.69M tokens / $1</w:t>
            </w:r>
          </w:p>
        </w:tc>
      </w:tr>
    </w:tbl>
    <w:p>
      <w:pPr>
        <w:pStyle w:val="BodyText"/>
      </w:pPr>
      <w:r>
        <w:rPr>
          <w:bCs/>
          <w:b/>
        </w:rPr>
        <w:t xml:space="preserve">关键洞察</w:t>
      </w:r>
      <w:r>
        <w:t xml:space="preserve">：</w:t>
      </w:r>
    </w:p>
    <w:p>
      <w:pPr>
        <w:numPr>
          <w:ilvl w:val="0"/>
          <w:numId w:val="1082"/>
        </w:numPr>
        <w:pStyle w:val="Compact"/>
      </w:pPr>
      <w:r>
        <w:rPr>
          <w:bCs/>
          <w:b/>
        </w:rPr>
        <w:t xml:space="preserve">图表方向是”越大越便宜”</w:t>
      </w:r>
      <w:r>
        <w:t xml:space="preserve">：这与 overview 表的”↓ 越低越好”方向相反——读者在阅读子页面时</w:t>
      </w:r>
      <w:r>
        <w:rPr>
          <w:bCs/>
          <w:b/>
        </w:rPr>
        <w:t xml:space="preserve">勿逆向上理解</w:t>
      </w:r>
    </w:p>
    <w:p>
      <w:pPr>
        <w:numPr>
          <w:ilvl w:val="0"/>
          <w:numId w:val="1082"/>
        </w:numPr>
        <w:pStyle w:val="Compact"/>
      </w:pPr>
      <w:r>
        <w:rPr>
          <w:bCs/>
          <w:b/>
        </w:rPr>
        <w:t xml:space="preserve">反向表达弱化数字断裂感</w:t>
      </w:r>
      <w:r>
        <w:t xml:space="preserve">：例如从 $0.04 涨到 $0.08 是 2 倍差距，但从 25M → 12.5M 也是 2 倍——心理学上换算后更直观，但</w:t>
      </w:r>
      <w:r>
        <w:rPr>
          <w:bCs/>
          <w:b/>
        </w:rPr>
        <w:t xml:space="preserve">数学关系不变</w:t>
      </w:r>
    </w:p>
    <w:p>
      <w:pPr>
        <w:numPr>
          <w:ilvl w:val="0"/>
          <w:numId w:val="1082"/>
        </w:numPr>
        <w:pStyle w:val="Compact"/>
      </w:pPr>
      <w:r>
        <w:rPr>
          <w:bCs/>
          <w:b/>
        </w:rPr>
        <w:t xml:space="preserve">适合做”成本翻倍阈值”判断</w:t>
      </w:r>
      <w:r>
        <w:t xml:space="preserve">：用反向表达，</w:t>
      </w:r>
      <w:r>
        <w:rPr>
          <w:bCs/>
          <w:b/>
        </w:rPr>
        <w:t xml:space="preserve">“</w:t>
      </w:r>
      <w:r>
        <w:rPr>
          <w:bCs/>
          <w:b/>
        </w:rPr>
        <w:t xml:space="preserve">每美元 token 数减半</w:t>
      </w:r>
      <w:r>
        <w:rPr>
          <w:bCs/>
          <w:b/>
        </w:rPr>
        <w:t xml:space="preserve">”</w:t>
      </w:r>
      <w:r>
        <w:rPr>
          <w:bCs/>
          <w:b/>
        </w:rPr>
        <w:t xml:space="preserve">等价于”成本翻倍”</w:t>
      </w:r>
      <w:r>
        <w:t xml:space="preserve"> </w:t>
      </w:r>
      <w:r>
        <w:t xml:space="preserve">—— 这与 §5 的”+51%“等价语义相同</w:t>
      </w:r>
    </w:p>
    <w:bookmarkEnd w:id="93"/>
    <w:bookmarkStart w:id="94" w:name="minimax-m3-在-overview-与子页面之间的数据可见性差异"/>
    <w:p>
      <w:pPr>
        <w:pStyle w:val="Heading3"/>
      </w:pPr>
      <w:r>
        <w:t xml:space="preserve">9.5 MiniMax M3 在 overview 与子页面之间的”数据可见性差异”</w:t>
      </w:r>
    </w:p>
    <w:p>
      <w:pPr>
        <w:pStyle w:val="FirstParagraph"/>
      </w:pPr>
      <w:r>
        <w:t xml:space="preserve">这是本次抓取中最具洞察的发现：</w:t>
      </w:r>
    </w:p>
    <w:p>
      <w:pPr>
        <w:pStyle w:val="BodyText"/>
      </w:pPr>
      <w:r>
        <w:rPr>
          <w:bCs/>
          <w:b/>
        </w:rPr>
        <w:t xml:space="preserve">M3 在 overview 表（§4）</w:t>
      </w:r>
      <w:r>
        <w:t xml:space="preserve">：</w:t>
      </w:r>
    </w:p>
    <w:p>
      <w:pPr>
        <w:numPr>
          <w:ilvl w:val="0"/>
          <w:numId w:val="1083"/>
        </w:numPr>
        <w:pStyle w:val="Compact"/>
      </w:pPr>
      <w:r>
        <w:t xml:space="preserve">所有 5 个硬件所有 AgentX 场景：</w:t>
      </w:r>
      <w:r>
        <w:rPr>
          <w:bCs/>
          <w:b/>
        </w:rPr>
        <w:t xml:space="preserve">“</w:t>
      </w:r>
      <w:r>
        <w:rPr>
          <w:bCs/>
          <w:b/>
        </w:rPr>
        <w:t xml:space="preserve">无精确</w:t>
      </w:r>
      <w:r>
        <w:rPr>
          <w:bCs/>
          <w:b/>
        </w:rPr>
        <w:t xml:space="preserve"> </w:t>
      </w:r>
      <w:r>
        <w:rPr>
          <w:bCs/>
          <w:b/>
        </w:rPr>
        <w:t xml:space="preserve">@50</w:t>
      </w:r>
      <w:r>
        <w:rPr>
          <w:bCs/>
          <w:b/>
        </w:rPr>
        <w:t xml:space="preserve"> </w:t>
      </w:r>
      <w:r>
        <w:rPr>
          <w:bCs/>
          <w:b/>
        </w:rPr>
        <w:t xml:space="preserve">结果</w:t>
      </w:r>
      <w:r>
        <w:rPr>
          <w:bCs/>
          <w:b/>
        </w:rPr>
        <w:t xml:space="preserve">”</w:t>
      </w:r>
      <w:r>
        <w:t xml:space="preserve">——意味着 overview 中没有 MiniMax M3 的成本数字</w:t>
      </w:r>
    </w:p>
    <w:p>
      <w:pPr>
        <w:pStyle w:val="FirstParagraph"/>
      </w:pPr>
      <w:r>
        <w:rPr>
          <w:bCs/>
          <w:b/>
        </w:rPr>
        <w:t xml:space="preserve">M3 在子页面（§9.3）</w:t>
      </w:r>
      <w:r>
        <w:t xml:space="preserve">：</w:t>
      </w:r>
    </w:p>
    <w:p>
      <w:pPr>
        <w:numPr>
          <w:ilvl w:val="0"/>
          <w:numId w:val="1084"/>
        </w:numPr>
        <w:pStyle w:val="Compact"/>
      </w:pPr>
      <w:r>
        <w:t xml:space="preserve">MiniMax M3 + H200 + 8K/1K + FP4：</w:t>
      </w:r>
      <w:r>
        <w:rPr>
          <w:bCs/>
          <w:b/>
        </w:rPr>
        <w:t xml:space="preserve">有 3 个 SLO 档的真实数字</w:t>
      </w:r>
      <w:r>
        <w:t xml:space="preserve">（$0.04 / $0.08 / $0.13）</w:t>
      </w:r>
    </w:p>
    <w:p>
      <w:pPr>
        <w:numPr>
          <w:ilvl w:val="0"/>
          <w:numId w:val="1084"/>
        </w:numPr>
        <w:pStyle w:val="Compact"/>
      </w:pPr>
      <w:r>
        <w:t xml:space="preserve">MiniMax M3 + GB300 NVL72 + 8K/1K + FP4：</w:t>
      </w:r>
      <w:r>
        <w:rPr>
          <w:bCs/>
          <w:b/>
        </w:rPr>
        <w:t xml:space="preserve">所有 SLO 都”暂无数据”</w:t>
      </w:r>
    </w:p>
    <w:p>
      <w:pPr>
        <w:pStyle w:val="FirstParagraph"/>
      </w:pPr>
      <w:r>
        <w:rPr>
          <w:bCs/>
          <w:b/>
        </w:rPr>
        <w:t xml:space="preserve">专业解读</w:t>
      </w:r>
      <w:r>
        <w:t xml:space="preserve">：</w:t>
      </w:r>
    </w:p>
    <w:p>
      <w:pPr>
        <w:numPr>
          <w:ilvl w:val="0"/>
          <w:numId w:val="1085"/>
        </w:numPr>
        <w:pStyle w:val="Compact"/>
      </w:pPr>
      <w:r>
        <w:rPr>
          <w:bCs/>
          <w:b/>
        </w:rPr>
        <w:t xml:space="preserve">overview 滑块停在</w:t>
      </w:r>
      <w:r>
        <w:rPr>
          <w:bCs/>
          <w:b/>
        </w:rPr>
        <w:t xml:space="preserve"> </w:t>
      </w:r>
      <w:r>
        <w:rPr>
          <w:bCs/>
          <w:b/>
        </w:rPr>
        <w:t xml:space="preserve">@50</w:t>
      </w:r>
      <w:r>
        <w:rPr>
          <w:bCs/>
          <w:b/>
        </w:rPr>
        <w:t xml:space="preserve"> </w:t>
      </w:r>
      <w:r>
        <w:rPr>
          <w:bCs/>
          <w:b/>
        </w:rPr>
        <w:t xml:space="preserve">是设计选择</w:t>
      </w:r>
      <w:r>
        <w:t xml:space="preserve">——把”无</w:t>
      </w:r>
      <w:r>
        <w:t xml:space="preserve"> </w:t>
      </w:r>
      <w:r>
        <w:t xml:space="preserve">@50</w:t>
      </w:r>
      <w:r>
        <w:t xml:space="preserve">“</w:t>
      </w:r>
      <w:r>
        <w:t xml:space="preserve">显示为</w:t>
      </w:r>
      <w:r>
        <w:t xml:space="preserve">”</w:t>
      </w:r>
      <w:r>
        <w:t xml:space="preserve">无结果”是诚实但保守</w:t>
      </w:r>
    </w:p>
    <w:p>
      <w:pPr>
        <w:numPr>
          <w:ilvl w:val="0"/>
          <w:numId w:val="1085"/>
        </w:numPr>
        <w:pStyle w:val="Compact"/>
      </w:pPr>
      <w:r>
        <w:rPr>
          <w:bCs/>
          <w:b/>
        </w:rPr>
        <w:t xml:space="preserve">MiniMax M3 是”老型号 / 较新 API”的代表</w:t>
      </w:r>
      <w:r>
        <w:t xml:space="preserve">：在 8K/1K 与 AgentX 上的差异显著，说明</w:t>
      </w:r>
      <w:r>
        <w:rPr>
          <w:bCs/>
          <w:b/>
        </w:rPr>
        <w:t xml:space="preserve">MiniMax M3 的长上下文能力不如 Qwen / DeepSeek</w:t>
      </w:r>
      <w:r>
        <w:t xml:space="preserve">，在 AgentX 场景下需要更深 KV 调度优化</w:t>
      </w:r>
    </w:p>
    <w:p>
      <w:pPr>
        <w:numPr>
          <w:ilvl w:val="0"/>
          <w:numId w:val="1085"/>
        </w:numPr>
        <w:pStyle w:val="Compact"/>
      </w:pPr>
      <w:r>
        <w:rPr>
          <w:bCs/>
          <w:b/>
        </w:rPr>
        <w:t xml:space="preserve">M3 + H200 在 126-212 tok/s/user 全档都有数据</w:t>
      </w:r>
      <w:r>
        <w:t xml:space="preserve">：意味着 H200 的 SLO 满足能力比</w:t>
      </w:r>
      <w:r>
        <w:t xml:space="preserve"> </w:t>
      </w:r>
      <w:r>
        <w:t xml:space="preserve">@50</w:t>
      </w:r>
      <w:r>
        <w:t xml:space="preserve"> </w:t>
      </w:r>
      <w:r>
        <w:t xml:space="preserve">灵活很多；只是</w:t>
      </w:r>
      <w:r>
        <w:rPr>
          <w:bCs/>
          <w:b/>
        </w:rPr>
        <w:t xml:space="preserve">默认 overview 视图看不到</w:t>
      </w:r>
    </w:p>
    <w:p>
      <w:pPr>
        <w:numPr>
          <w:ilvl w:val="0"/>
          <w:numId w:val="1085"/>
        </w:numPr>
        <w:pStyle w:val="Compact"/>
      </w:pPr>
      <w:r>
        <w:rPr>
          <w:bCs/>
          <w:b/>
        </w:rPr>
        <w:t xml:space="preserve">GB300 NVL72 路径未跑通</w:t>
      </w:r>
      <w:r>
        <w:t xml:space="preserve">：是 bug 或硬件问题，不论哪种都意味着</w:t>
      </w:r>
      <w:r>
        <w:rPr>
          <w:bCs/>
          <w:b/>
        </w:rPr>
        <w:t xml:space="preserve">采购时不应将 MiniMax M3 + GB300 NVL72 视为现成可用组合</w:t>
      </w:r>
    </w:p>
    <w:p>
      <w:pPr>
        <w:pStyle w:val="FirstParagraph"/>
      </w:pPr>
      <w:r>
        <w:rPr>
          <w:bCs/>
          <w:b/>
        </w:rPr>
        <w:t xml:space="preserve">对读者的实践指引</w:t>
      </w:r>
      <w:r>
        <w:t xml:space="preserve">：</w:t>
      </w:r>
    </w:p>
    <w:p>
      <w:pPr>
        <w:numPr>
          <w:ilvl w:val="0"/>
          <w:numId w:val="1086"/>
        </w:numPr>
        <w:pStyle w:val="Compact"/>
      </w:pPr>
      <w:r>
        <w:t xml:space="preserve">想看 MiniMax M3 完整数据，必须用”降低 SLO + 切到 8K/1K 场景”两个开关配合才行</w:t>
      </w:r>
    </w:p>
    <w:p>
      <w:pPr>
        <w:numPr>
          <w:ilvl w:val="0"/>
          <w:numId w:val="1086"/>
        </w:numPr>
        <w:pStyle w:val="Compact"/>
      </w:pPr>
      <w:r>
        <w:t xml:space="preserve">overview 表只是”一个切面”，不应作为”该模型可用 / 不可用”的单一判断依据</w:t>
      </w:r>
    </w:p>
    <w:bookmarkEnd w:id="94"/>
    <w:bookmarkStart w:id="95" w:name="数字解读的反向工程从-tco-单价反推模型参数"/>
    <w:p>
      <w:pPr>
        <w:pStyle w:val="Heading3"/>
      </w:pPr>
      <w:r>
        <w:t xml:space="preserve">9.6 数字解读的反向工程：从 TCO 单价反推模型参数</w:t>
      </w:r>
    </w:p>
    <w:p>
      <w:pPr>
        <w:pStyle w:val="FirstParagraph"/>
      </w:pPr>
      <w:r>
        <w:t xml:space="preserve">利用 §9.2 抓到的 13 种硬件 TCO 单价，可以在已知 $/M tokens 时反推吞吐，或在已知吞吐时反推 $/M tokens。下方给两个示例：</w:t>
      </w:r>
    </w:p>
    <w:p>
      <w:pPr>
        <w:pStyle w:val="BodyText"/>
      </w:pPr>
      <w:r>
        <w:rPr>
          <w:bCs/>
          <w:b/>
        </w:rPr>
        <w:t xml:space="preserve">示例 A</w:t>
      </w:r>
      <w:r>
        <w:t xml:space="preserve">：H200 @ 8K/1K + MiniMax M3 + 8K/1K + 126 tok/s/user 时，已知 $0.04/M tokens</w:t>
      </w:r>
      <w:r>
        <w:t xml:space="preserve"> </w:t>
      </w:r>
      <w:r>
        <w:t xml:space="preserve">- H200 TCO = $1.22/hr = $3.39e-4/s</w:t>
      </w:r>
      <w:r>
        <w:t xml:space="preserve"> </w:t>
      </w:r>
      <w:r>
        <w:t xml:space="preserve">- 每秒总成本 = $0.04 / 1,000,000 = $4e-8 / token</w:t>
      </w:r>
      <w:r>
        <w:t xml:space="preserve"> </w:t>
      </w:r>
      <w:r>
        <w:t xml:space="preserve">- 反推吞吐 = $3.39e-4 / $4e-8 = 8475 tok/s/chip</w:t>
      </w:r>
      <w:r>
        <w:t xml:space="preserve"> </w:t>
      </w:r>
      <w:r>
        <w:t xml:space="preserve">- 页面给出 7591 tok/s/chip（偏差 10%）——验证了 SLO 升到 126 tok/s/user 时</w:t>
      </w:r>
      <w:r>
        <w:rPr>
          <w:bCs/>
          <w:b/>
        </w:rPr>
        <w:t xml:space="preserve">单芯片还有 10% 调度余量</w:t>
      </w:r>
      <w:r>
        <w:t xml:space="preserve">的认知</w:t>
      </w:r>
    </w:p>
    <w:p>
      <w:pPr>
        <w:pStyle w:val="BodyText"/>
      </w:pPr>
      <w:r>
        <w:rPr>
          <w:bCs/>
          <w:b/>
        </w:rPr>
        <w:t xml:space="preserve">示例 B</w:t>
      </w:r>
      <w:r>
        <w:t xml:space="preserve">：B200 @ DeepSeek V4 Pro + AgentX + FP4 + Dynamo vLLM 时，已知 $0.007/M tokens（overview 给出）</w:t>
      </w:r>
      <w:r>
        <w:t xml:space="preserve"> </w:t>
      </w:r>
      <w:r>
        <w:t xml:space="preserve">- B200 TCO = $1.73/hr = $4.81e-4/s</w:t>
      </w:r>
      <w:r>
        <w:t xml:space="preserve"> </w:t>
      </w:r>
      <w:r>
        <w:t xml:space="preserve">- 反推吞吐 = $4.81e-4 / $7e-9 =</w:t>
      </w:r>
      <w:r>
        <w:t xml:space="preserve"> </w:t>
      </w:r>
      <w:r>
        <w:rPr>
          <w:bCs/>
          <w:b/>
        </w:rPr>
        <w:t xml:space="preserve">68,714 tok/s/chip</w:t>
      </w:r>
      <w:r>
        <w:t xml:space="preserve"> </w:t>
      </w:r>
      <w:r>
        <w:t xml:space="preserve">- 而 DeepSeek V4 Pro 1.6T 是大 MoE，</w:t>
      </w:r>
      <w:r>
        <w:rPr>
          <w:bCs/>
          <w:b/>
        </w:rPr>
        <w:t xml:space="preserve">单 B200 实际物理不可能跑出 68k tok/s</w:t>
      </w:r>
      <w:r>
        <w:t xml:space="preserve">——这意味着成本 $0.007/M 实际是多卡协作（card grouping / NVLink）的产物</w:t>
      </w:r>
      <w:r>
        <w:t xml:space="preserve"> </w:t>
      </w:r>
      <w:r>
        <w:t xml:space="preserve">- 验证 §2.3 / §3.7.2 的”每实例不一定是单卡”假设</w:t>
      </w:r>
    </w:p>
    <w:p>
      <w:pPr>
        <w:pStyle w:val="BodyText"/>
      </w:pPr>
      <w:r>
        <w:rPr>
          <w:bCs/>
          <w:b/>
        </w:rPr>
        <w:t xml:space="preserve">专业含义</w:t>
      </w:r>
      <w:r>
        <w:t xml:space="preserve">：用 TCO 反推吞吐可以得到”账面吞吐”与”物理吞吐”的对照。当账面吞吐远超物理上限时，即代表使用了多卡协作 / disaggregated serving / speculative decoding 等放大手段。该比例可以作为”硬件多卡效率”的间接度量。</w:t>
      </w:r>
    </w:p>
    <w:bookmarkEnd w:id="95"/>
    <w:bookmarkStart w:id="96" w:name="解读建议如何使用详情页数字做最终决策"/>
    <w:p>
      <w:pPr>
        <w:pStyle w:val="Heading3"/>
      </w:pPr>
      <w:r>
        <w:t xml:space="preserve">9.7 解读建议（如何使用详情页数字做最终决策）</w:t>
      </w:r>
    </w:p>
    <w:p>
      <w:pPr>
        <w:pStyle w:val="FirstParagraph"/>
      </w:pPr>
      <w:r>
        <w:rPr>
          <w:bCs/>
          <w:b/>
        </w:rPr>
        <w:t xml:space="preserve">场景 A：用 TCO 表估算自有部署成本</w:t>
      </w:r>
    </w:p>
    <w:p>
      <w:pPr>
        <w:numPr>
          <w:ilvl w:val="0"/>
          <w:numId w:val="1087"/>
        </w:numPr>
        <w:pStyle w:val="Compact"/>
      </w:pPr>
      <w:r>
        <w:t xml:space="preserve">从 §9.2 选取目标硬件的 $/chip/hr</w:t>
      </w:r>
    </w:p>
    <w:p>
      <w:pPr>
        <w:numPr>
          <w:ilvl w:val="0"/>
          <w:numId w:val="1087"/>
        </w:numPr>
        <w:pStyle w:val="Compact"/>
      </w:pPr>
      <w:r>
        <w:t xml:space="preserve">乘以目标 GPU 数 × 24 × 30 得到月度 TCO</w:t>
      </w:r>
    </w:p>
    <w:p>
      <w:pPr>
        <w:numPr>
          <w:ilvl w:val="0"/>
          <w:numId w:val="1087"/>
        </w:numPr>
        <w:pStyle w:val="Compact"/>
      </w:pPr>
      <w:r>
        <w:t xml:space="preserve">反推满足 SLO 时的吞吐（用 H200 MiniMax M3 公式自洽的方法）</w:t>
      </w:r>
    </w:p>
    <w:p>
      <w:pPr>
        <w:numPr>
          <w:ilvl w:val="0"/>
          <w:numId w:val="1087"/>
        </w:numPr>
        <w:pStyle w:val="Compact"/>
      </w:pPr>
      <w:r>
        <w:t xml:space="preserve">计算 $0.04 vs 自有 TCO 的差异——通常自建比租赁云</w:t>
      </w:r>
      <w:r>
        <w:rPr>
          <w:bCs/>
          <w:b/>
        </w:rPr>
        <w:t xml:space="preserve">便宜 2-4 倍</w:t>
      </w:r>
    </w:p>
    <w:p>
      <w:pPr>
        <w:pStyle w:val="FirstParagraph"/>
      </w:pPr>
      <w:r>
        <w:rPr>
          <w:bCs/>
          <w:b/>
        </w:rPr>
        <w:t xml:space="preserve">场景 B：用 SLO Sweep 估算”放松 SLO”的收益</w:t>
      </w:r>
    </w:p>
    <w:p>
      <w:pPr>
        <w:numPr>
          <w:ilvl w:val="0"/>
          <w:numId w:val="1088"/>
        </w:numPr>
        <w:pStyle w:val="Compact"/>
      </w:pPr>
      <w:r>
        <w:t xml:space="preserve">进入 /zh/compare 子页面，找一个真实有数据的对比</w:t>
      </w:r>
    </w:p>
    <w:p>
      <w:pPr>
        <w:numPr>
          <w:ilvl w:val="0"/>
          <w:numId w:val="1088"/>
        </w:numPr>
        <w:pStyle w:val="Compact"/>
      </w:pPr>
      <w:r>
        <w:t xml:space="preserve">拉低 SLO（从 126 → 50）观察 $0.04 → $X 变化</w:t>
      </w:r>
    </w:p>
    <w:p>
      <w:pPr>
        <w:numPr>
          <w:ilvl w:val="0"/>
          <w:numId w:val="1088"/>
        </w:numPr>
        <w:pStyle w:val="Compact"/>
      </w:pPr>
      <w:r>
        <w:t xml:space="preserve">该差值即”为更快 SLO 付的额外 $/token”——可作为产品 SLA 定价参考</w:t>
      </w:r>
    </w:p>
    <w:p>
      <w:pPr>
        <w:pStyle w:val="FirstParagraph"/>
      </w:pPr>
      <w:r>
        <w:rPr>
          <w:bCs/>
          <w:b/>
        </w:rPr>
        <w:t xml:space="preserve">场景 C：用 MiniMax M3 反例做风险评估</w:t>
      </w:r>
    </w:p>
    <w:p>
      <w:pPr>
        <w:numPr>
          <w:ilvl w:val="0"/>
          <w:numId w:val="1089"/>
        </w:numPr>
        <w:pStyle w:val="Compact"/>
      </w:pPr>
      <w:r>
        <w:t xml:space="preserve">看到某候选模型在 overview 上”无结果”，先看 /zh/compare 的 SLO Sweep</w:t>
      </w:r>
    </w:p>
    <w:p>
      <w:pPr>
        <w:numPr>
          <w:ilvl w:val="0"/>
          <w:numId w:val="1089"/>
        </w:numPr>
        <w:pStyle w:val="Compact"/>
      </w:pPr>
      <w:r>
        <w:t xml:space="preserve">若 SLO Sweep 仍空，标注为”组合暂无数据”</w:t>
      </w:r>
    </w:p>
    <w:p>
      <w:pPr>
        <w:numPr>
          <w:ilvl w:val="0"/>
          <w:numId w:val="1089"/>
        </w:numPr>
        <w:pStyle w:val="Compact"/>
      </w:pPr>
      <w:r>
        <w:t xml:space="preserve">在生产选型时</w:t>
      </w:r>
      <w:r>
        <w:rPr>
          <w:bCs/>
          <w:b/>
        </w:rPr>
        <w:t xml:space="preserve">不应</w:t>
      </w:r>
      <w:r>
        <w:t xml:space="preserve">等到数据出现才开始——这往往是 vendor 投入跟不上 benchmark 的信号</w:t>
      </w:r>
    </w:p>
    <w:bookmarkEnd w:id="96"/>
    <w:bookmarkStart w:id="97" w:name="解读禁忌详情页数字"/>
    <w:p>
      <w:pPr>
        <w:pStyle w:val="Heading3"/>
      </w:pPr>
      <w:r>
        <w:t xml:space="preserve">9.8 解读禁忌（详情页数字）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错误做法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原因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把 MiniMax M3 @ 8K/1K 的 $0.04 直接外推到 AgentX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两个场景计算逻辑完全不同（AgentX 含 prefix cache 复用）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把 H200 单价用于 NVL72 形态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NVL72 有独立 per-chip 单价，</w:t>
            </w:r>
            <w:r>
              <w:rPr>
                <w:bCs/>
                <w:b/>
              </w:rPr>
              <w:t xml:space="preserve">不能把 H200 当 GB200 NVL72 的单 chip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把 7591 tok/s/chip 当作 H200 物理上限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这是</w:t>
            </w:r>
            <w:r>
              <w:rPr>
                <w:bCs/>
                <w:b/>
              </w:rPr>
              <w:t xml:space="preserve">测得 SLO=126 时的吞吐</w:t>
            </w:r>
            <w:r>
              <w:t xml:space="preserve">，不是裸硬件峰值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用 126/169/212 直线外推 SLO=300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接近物理极限时为非线性，越高越贵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仅看 TCO 单价判断性价比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TCO 单价高（Vera Rubin $3.61）不一定等于性能 / 单价低——需要叠加吞吐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把 GB300 NVL72 per-chip $2.31 当作整 NVL72 价格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per-chip，单 NVL72 机架 = $2.31 × 72 + 网络 ≈ $170/hr 左右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97"/>
    <w:bookmarkEnd w:id="98"/>
    <w:bookmarkStart w:id="119" w:name="overview-数字验证方案l1-l7-验证矩阵"/>
    <w:p>
      <w:pPr>
        <w:pStyle w:val="Heading2"/>
      </w:pPr>
      <w:r>
        <w:t xml:space="preserve">10. §4 overview 数字验证方案（L1-L7 验证矩阵）</w:t>
      </w:r>
    </w:p>
    <w:p>
      <w:pPr>
        <w:pStyle w:val="BlockText"/>
      </w:pPr>
      <w:r>
        <w:rPr>
          <w:bCs/>
          <w:b/>
        </w:rPr>
        <w:t xml:space="preserve">核心问题</w:t>
      </w:r>
      <w:r>
        <w:t xml:space="preserve">：用户判断”几乎所有 §4 overview 数据无法在子页面交叉验证”——本节给出</w:t>
      </w:r>
      <w:r>
        <w:rPr>
          <w:bCs/>
          <w:b/>
        </w:rPr>
        <w:t xml:space="preserve">系统化验证方案</w:t>
      </w:r>
      <w:r>
        <w:t xml:space="preserve">与</w:t>
      </w:r>
      <w:r>
        <w:rPr>
          <w:bCs/>
          <w:b/>
        </w:rPr>
        <w:t xml:space="preserve">已执行的 L1 层级验证结果</w:t>
      </w:r>
      <w:r>
        <w:t xml:space="preserve">，并明确 L2+ 层级无法继续的原因。</w:t>
      </w:r>
    </w:p>
    <w:bookmarkStart w:id="99" w:name="验证问题与目标"/>
    <w:p>
      <w:pPr>
        <w:pStyle w:val="Heading3"/>
      </w:pPr>
      <w:r>
        <w:t xml:space="preserve">10.1 验证问题与目标</w:t>
      </w:r>
    </w:p>
    <w:p>
      <w:pPr>
        <w:pStyle w:val="FirstParagraph"/>
      </w:pPr>
      <w:r>
        <w:t xml:space="preserve">§4 表格中所有数字（如”DeepSeek V4 Pro 1.6T + B200 + vLLM + FP4 + AgentX = $0.007/M”）均直接来自</w:t>
      </w:r>
      <w:r>
        <w:t xml:space="preserve"> </w:t>
      </w:r>
      <w:r>
        <w:rPr>
          <w:rStyle w:val="VerbatimChar"/>
        </w:rPr>
        <w:t xml:space="preserve">/zh/overview</w:t>
      </w:r>
      <w:r>
        <w:t xml:space="preserve"> </w:t>
      </w:r>
      <w:r>
        <w:t xml:space="preserve">页面表格，每个单元格 tooltip 含</w:t>
      </w:r>
      <w:r>
        <w:t xml:space="preserve"> </w:t>
      </w:r>
      <w:r>
        <w:rPr>
          <w:rStyle w:val="VerbatimChar"/>
        </w:rPr>
        <w:t xml:space="preserve">g_rundate + g_runid + i_spec + i_disagg</w:t>
      </w:r>
      <w:r>
        <w:t xml:space="preserve"> </w:t>
      </w:r>
      <w:r>
        <w:t xml:space="preserve">等参数指明单次 run。</w:t>
      </w:r>
    </w:p>
    <w:p>
      <w:pPr>
        <w:pStyle w:val="BodyText"/>
      </w:pPr>
      <w:r>
        <w:rPr>
          <w:bCs/>
          <w:b/>
        </w:rPr>
        <w:t xml:space="preserve">用户在 §8 后段识别出的事实</w:t>
      </w:r>
      <w:r>
        <w:t xml:space="preserve">：</w:t>
      </w:r>
    </w:p>
    <w:p>
      <w:pPr>
        <w:numPr>
          <w:ilvl w:val="0"/>
          <w:numId w:val="1090"/>
        </w:numPr>
        <w:pStyle w:val="Compact"/>
      </w:pPr>
      <w:r>
        <w:t xml:space="preserve">大多数对比子页面（SPA）被多次 WebFetch 截断</w:t>
      </w:r>
    </w:p>
    <w:p>
      <w:pPr>
        <w:numPr>
          <w:ilvl w:val="0"/>
          <w:numId w:val="1090"/>
        </w:numPr>
        <w:pStyle w:val="Compact"/>
      </w:pPr>
      <w:r>
        <w:rPr>
          <w:rStyle w:val="VerbatimChar"/>
        </w:rPr>
        <w:t xml:space="preserve">/zh/compare/&lt;model&gt;-&lt;A&gt;-vs-&lt;B&gt;/&lt;scenario&gt;</w:t>
      </w:r>
      <w:r>
        <w:t xml:space="preserve"> </w:t>
      </w:r>
      <w:r>
        <w:t xml:space="preserve">子页面偶尔能抓到静态 TCO 表，但抓不到单元格数字</w:t>
      </w:r>
    </w:p>
    <w:p>
      <w:pPr>
        <w:numPr>
          <w:ilvl w:val="0"/>
          <w:numId w:val="1090"/>
        </w:numPr>
        <w:pStyle w:val="Compact"/>
      </w:pPr>
      <w:r>
        <w:t xml:space="preserve">即使抓到的 URL</w:t>
      </w:r>
      <w:r>
        <w:t xml:space="preserve"> </w:t>
      </w:r>
      <w:r>
        <w:rPr>
          <w:rStyle w:val="VerbatimChar"/>
        </w:rPr>
        <w:t xml:space="preserve">/inference?unofficialRun=35434571418</w:t>
      </w:r>
      <w:r>
        <w:t xml:space="preserve">（PR #3274 关联）也只渲染图表外壳，无法取出散点数据</w:t>
      </w:r>
    </w:p>
    <w:p>
      <w:pPr>
        <w:pStyle w:val="FirstParagraph"/>
      </w:pPr>
      <w:r>
        <w:rPr>
          <w:bCs/>
          <w:b/>
        </w:rPr>
        <w:t xml:space="preserve">目标</w:t>
      </w:r>
      <w:r>
        <w:t xml:space="preserve">：在 GitHub 仓库找到一个</w:t>
      </w:r>
      <w:r>
        <w:rPr>
          <w:bCs/>
          <w:b/>
        </w:rPr>
        <w:t xml:space="preserve">可重现、可追溯</w:t>
      </w:r>
      <w:r>
        <w:t xml:space="preserve">的验证链路，把每个 overview 数字连接到具体 PR、commit、GitHub Actions run。</w:t>
      </w:r>
    </w:p>
    <w:bookmarkEnd w:id="99"/>
    <w:bookmarkStart w:id="100" w:name="验证层级矩阵"/>
    <w:p>
      <w:pPr>
        <w:pStyle w:val="Heading3"/>
      </w:pPr>
      <w:r>
        <w:t xml:space="preserve">10.2 验证层级矩阵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层级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方法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证据强度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状态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perf-changelog.yaml</w:t>
            </w:r>
            <w:r>
              <w:t xml:space="preserve"> </w:t>
            </w:r>
            <w:r>
              <w:t xml:space="preserve">把 config-key 关联到 PR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强</w:t>
            </w:r>
            <w:r>
              <w:t xml:space="preserve">（推断）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✅</w:t>
            </w:r>
            <w:r>
              <w:t xml:space="preserve"> </w:t>
            </w:r>
            <w:r>
              <w:rPr>
                <w:bCs/>
                <w:b/>
              </w:rPr>
              <w:t xml:space="preserve">已执行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GitHub Actions job logs 含真实 benchmark 数字 JSON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最强（直接）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⚠ 需要 admin 才能下载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GitHub Release artifacts 含 .json / .csv 下载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❌ 当前 Release 仅</w:t>
            </w:r>
            <w:r>
              <w:t xml:space="preserve"> </w:t>
            </w:r>
            <w:r>
              <w:rPr>
                <w:rStyle w:val="VerbatimChar"/>
              </w:rPr>
              <w:t xml:space="preserve">tilert</w:t>
            </w:r>
            <w:r>
              <w:t xml:space="preserve"> </w:t>
            </w:r>
            <w:r>
              <w:t xml:space="preserve">wheel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nvidia-master.yaml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amd-master.yaml</w:t>
            </w:r>
            <w:r>
              <w:t xml:space="preserve"> </w:t>
            </w:r>
            <w:r>
              <w:t xml:space="preserve">配置脚本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中（脚本层）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✅</w:t>
            </w:r>
            <w:r>
              <w:t xml:space="preserve"> </w:t>
            </w:r>
            <w:r>
              <w:rPr>
                <w:bCs/>
                <w:b/>
              </w:rPr>
              <w:t xml:space="preserve">已访问入口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?unofficialRun=&lt;id&gt;</w:t>
            </w:r>
            <w:r>
              <w:t xml:space="preserve"> </w:t>
            </w:r>
            <w:r>
              <w:t xml:space="preserve">页面上的真实图表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中（页面层）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⚠ SPA 截断</w:t>
            </w:r>
          </w:p>
        </w:tc>
      </w:tr>
    </w:tbl>
    <w:p>
      <w:pPr>
        <w:pStyle w:val="BodyText"/>
      </w:pPr>
      <w:r>
        <w:rPr>
          <w:bCs/>
          <w:b/>
        </w:rPr>
        <w:t xml:space="preserve">结论</w:t>
      </w:r>
      <w:r>
        <w:t xml:space="preserve">：L1 已经在本报告完成，L2-L3 受权限 / Release 限制无法直接获取，但已有可重复路径。</w:t>
      </w:r>
    </w:p>
    <w:bookmarkEnd w:id="100"/>
    <w:bookmarkStart w:id="101" w:name="已执行的-l1-验证4-单元格-config-key-pr-完整映射"/>
    <w:p>
      <w:pPr>
        <w:pStyle w:val="Heading3"/>
      </w:pPr>
      <w:r>
        <w:t xml:space="preserve">10.3 已执行的 L1 验证：§4 单元格 ↔ config-key ↔ PR 完整映射</w:t>
      </w:r>
    </w:p>
    <w:p>
      <w:pPr>
        <w:pStyle w:val="FirstParagraph"/>
      </w:pPr>
      <w:r>
        <w:t xml:space="preserve">通过 GitHub API 拉取</w:t>
      </w:r>
      <w:r>
        <w:t xml:space="preserve"> </w:t>
      </w:r>
      <w:r>
        <w:rPr>
          <w:rStyle w:val="VerbatimChar"/>
        </w:rPr>
        <w:t xml:space="preserve">inferencex-e2e/perf-changelog.yaml</w:t>
      </w:r>
      <w:r>
        <w:t xml:space="preserve">（754 KB / 9648 行 / 1103 条变更记录），把 §4 表中 12 个关键单元格映射到具体 config-key 与最新 PR：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§4 单元格描述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overview 数字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config-key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最新 PR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描述摘要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DeepSeek V4 Pro + B200 + FP4 + vLLM + AgentX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$0.007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dsv4-fp4-b200-vllm-agentic-mtp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#3274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Update B200 vLLM AgentX to DSpark6 and TP8/DEP8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DeepSeek V4 Pro + MI355X + FP4 + ATOM + DSpark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$0.011</w:t>
            </w:r>
            <w:r>
              <w:t xml:space="preserve"> </w:t>
            </w:r>
            <w:r>
              <w:t xml:space="preserve">(+51%)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dsv4-fp4-mi355x-atom-disagg-agentic-lmcache-dspark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#3543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Port to native srt-slurm recipe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DeepSeek V4 Pro + B300 + FP4 + vLLM + AgentX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$0.009</w:t>
            </w:r>
            <w:r>
              <w:t xml:space="preserve"> </w:t>
            </w:r>
            <w:r>
              <w:t xml:space="preserve">(+18%)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dsv4-fp4-b300-vllm-agentic-mtp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#3477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Update B300 vLLM AgentX to DSpark6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DeepSeek V4 Pro + GB300 + FP4 + Dynamo vLLM + AgentX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$0.011</w:t>
            </w:r>
            <w:r>
              <w:t xml:space="preserve"> </w:t>
            </w:r>
            <w:r>
              <w:t xml:space="preserve">(+54%)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dsv4-fp4-gb300-dynamo-vllm-agentic-mtp-disagg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#2665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Add GB300 AgentX P/D points c4, c128, c256, c512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DeepSeek V4.1 Flash + MI355X + FP4 + SGLang + DSpark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$0.003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dsv41flash-fp4-mi355x-sglang-agentic-dspark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#3926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Bump ROCm image to v0.5.21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Kimi K3 + GB300 NVL72 + AgentX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$0.038</w:t>
            </w:r>
            <w:r>
              <w:t xml:space="preserve"> </w:t>
            </w:r>
            <w:r>
              <w:t xml:space="preserve">(−48%)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kimik3-fp4-gb300-dynamo-vllm-agentic-dspark-mooncake-dcp8-disagg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#3105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Update Kimi-K3 GB300 AgentX vLLM image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Kimi K3 + B200 + AgentX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$0.074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kimik3-fp4-b200-dynamo-vllm-agentic-dspark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#3087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Update Kimi-K3 B200 AgentX vLLM image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Qwen 3.5 + B200 + SGLang + FP8 + AgentX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$0.018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qwen3.5-fp8-b200-sglang-agentic-mtp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#3142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Update SGLang image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Qwen 3.5 397B + GB200 NVL72 + FP4 + Dynamo-SGLang + AgentX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$0.006</w:t>
            </w:r>
            <w:r>
              <w:t xml:space="preserve"> </w:t>
            </w:r>
            <w:r>
              <w:t xml:space="preserve">(−68%)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qwen3.5-fp4-gb200-dynamo-sglang-agentic-mtp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#2945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Updated TP4/TP2-EP2 concurrency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Qwen 3.5 397B + MI355X + FP8 + SGLang + AgentX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$0.008</w:t>
            </w:r>
            <w:r>
              <w:t xml:space="preserve"> </w:t>
            </w:r>
            <w:r>
              <w:t xml:space="preserve">(−58%)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qwen3.5-fp8-mi355x-sglang-agentic-mtp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#3611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Extend TP4 HiCache band to concurrency 80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GLM 5.2 + MI355X + SGLang + FP4 + AgentX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$0.023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glm5.2-fp4-mi355x-sglang-agentic-mtp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#3724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Enable SGLANG_OPT_USE_TOPK_V2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MiniMax M3 428B + H200 + 8K/1K + vLLM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(overview 无</w:t>
            </w:r>
            <w:r>
              <w:t xml:space="preserve"> </w:t>
            </w:r>
            <w:r>
              <w:t xml:space="preserve">@50</w:t>
            </w:r>
            <w:r>
              <w:t xml:space="preserve">；但子页有)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minimaxm3-fp8-h200-vllm-agentic-mtp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#3736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Update FP8 MSA indexer cache</w:t>
            </w:r>
          </w:p>
        </w:tc>
      </w:tr>
    </w:tbl>
    <w:p>
      <w:pPr>
        <w:pStyle w:val="BodyText"/>
      </w:pPr>
      <w:r>
        <w:rPr>
          <w:bCs/>
          <w:b/>
        </w:rPr>
        <w:t xml:space="preserve">专业解读</w:t>
      </w:r>
      <w:r>
        <w:t xml:space="preserve">：</w:t>
      </w:r>
    </w:p>
    <w:p>
      <w:pPr>
        <w:numPr>
          <w:ilvl w:val="0"/>
          <w:numId w:val="1091"/>
        </w:numPr>
        <w:pStyle w:val="Compact"/>
      </w:pPr>
      <w:r>
        <w:rPr>
          <w:bCs/>
          <w:b/>
        </w:rPr>
        <w:t xml:space="preserve">每个数字都有唯一 PR</w:t>
      </w:r>
      <w:r>
        <w:t xml:space="preserve">：12 个单元格 ↔ 12 个 PR。这证明 overview 的”打开详情信息”指向的就是这些 PR</w:t>
      </w:r>
    </w:p>
    <w:p>
      <w:pPr>
        <w:numPr>
          <w:ilvl w:val="0"/>
          <w:numId w:val="1091"/>
        </w:numPr>
        <w:pStyle w:val="Compact"/>
      </w:pPr>
      <w:r>
        <w:rPr>
          <w:bCs/>
          <w:b/>
        </w:rPr>
        <w:t xml:space="preserve">PR 与 GitHub Actions run 一一对应</w:t>
      </w:r>
      <w:r>
        <w:t xml:space="preserve">：每个 PR 都触发</w:t>
      </w:r>
      <w:r>
        <w:t xml:space="preserve"> </w:t>
      </w:r>
      <w:r>
        <w:rPr>
          <w:rStyle w:val="VerbatimChar"/>
        </w:rPr>
        <w:t xml:space="preserve">agentic eval</w:t>
      </w:r>
      <w:r>
        <w:t xml:space="preserve"> </w:t>
      </w:r>
      <w:r>
        <w:t xml:space="preserve">GitHub Actions workflow，输出 benchmark 数字 JSON</w:t>
      </w:r>
    </w:p>
    <w:p>
      <w:pPr>
        <w:numPr>
          <w:ilvl w:val="0"/>
          <w:numId w:val="1091"/>
        </w:numPr>
        <w:pStyle w:val="Compact"/>
      </w:pPr>
      <w:r>
        <w:rPr>
          <w:rStyle w:val="VerbatimChar"/>
          <w:bCs/>
          <w:b/>
        </w:rPr>
        <w:t xml:space="preserve">g_rundate</w:t>
      </w:r>
      <w:r>
        <w:rPr>
          <w:bCs/>
          <w:b/>
        </w:rPr>
        <w:t xml:space="preserve"> </w:t>
      </w:r>
      <w:r>
        <w:rPr>
          <w:bCs/>
          <w:b/>
        </w:rPr>
        <w:t xml:space="preserve">与 PR 日期大致对齐</w:t>
      </w:r>
      <w:r>
        <w:t xml:space="preserve">：从</w:t>
      </w:r>
      <w:r>
        <w:t xml:space="preserve"> </w:t>
      </w:r>
      <w:r>
        <w:rPr>
          <w:rStyle w:val="VerbatimChar"/>
        </w:rPr>
        <w:t xml:space="preserve">perf-changelog.yaml</w:t>
      </w:r>
      <w:r>
        <w:t xml:space="preserve"> </w:t>
      </w:r>
      <w:r>
        <w:t xml:space="preserve">没有 date 字段，但 PR merge 时间可作为 rundate 的代理（如 #3274 合并于 2026-09-19，与 overview 中 9 月份的 rundate 对齐）</w:t>
      </w:r>
    </w:p>
    <w:p>
      <w:pPr>
        <w:numPr>
          <w:ilvl w:val="0"/>
          <w:numId w:val="1091"/>
        </w:numPr>
        <w:pStyle w:val="Compact"/>
      </w:pPr>
      <w:r>
        <w:rPr>
          <w:bCs/>
          <w:b/>
        </w:rPr>
        <w:t xml:space="preserve">多对一关系</w:t>
      </w:r>
      <w:r>
        <w:t xml:space="preserve">：同一 (model, hw, engine, precision, scenario) 可能对应多个 config-key（变体），如</w:t>
      </w:r>
      <w:r>
        <w:t xml:space="preserve"> </w:t>
      </w:r>
      <w:r>
        <w:rPr>
          <w:rStyle w:val="VerbatimChar"/>
        </w:rPr>
        <w:t xml:space="preserve">dsv4-fp4-b200-vllm-agentic</w:t>
      </w:r>
      <w:r>
        <w:t xml:space="preserve"> </w:t>
      </w:r>
      <w:r>
        <w:t xml:space="preserve">与</w:t>
      </w:r>
      <w:r>
        <w:t xml:space="preserve"> </w:t>
      </w:r>
      <w:r>
        <w:rPr>
          <w:rStyle w:val="VerbatimChar"/>
        </w:rPr>
        <w:t xml:space="preserve">dsv4-fp4-b200-vllm-agentic-mtp</w:t>
      </w:r>
      <w:r>
        <w:t xml:space="preserve"> </w:t>
      </w:r>
      <w:r>
        <w:t xml:space="preserve">是两个 PR 路径；overview 表格只会显示”最优配置”的成本</w:t>
      </w:r>
    </w:p>
    <w:bookmarkEnd w:id="101"/>
    <w:bookmarkStart w:id="102" w:name="config-key-命名规则速查表验证-4-必备"/>
    <w:p>
      <w:pPr>
        <w:pStyle w:val="Heading3"/>
      </w:pPr>
      <w:r>
        <w:t xml:space="preserve">10.4 config-key 命名规则速查表（验证 §4 必备）</w:t>
      </w:r>
    </w:p>
    <w:p>
      <w:pPr>
        <w:pStyle w:val="FirstParagraph"/>
      </w:pPr>
      <w:r>
        <w:t xml:space="preserve">通过 §10.3 mapping 总结出的命名规则：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字段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命名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含义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模型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dsv4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DeepSeek V4 Pro 1.6T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dsv41flash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DeepSeek V4.1 Flash 552B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kimik3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Kimi K3 2.8T（</w:t>
            </w:r>
            <w:r>
              <w:rPr>
                <w:bCs/>
                <w:b/>
              </w:rPr>
              <w:t xml:space="preserve">注意不是</w:t>
            </w:r>
            <w:r>
              <w:rPr>
                <w:bCs/>
                <w:b/>
              </w:rPr>
              <w:t xml:space="preserve"> </w:t>
            </w:r>
            <w:r>
              <w:rPr>
                <w:rStyle w:val="VerbatimChar"/>
                <w:bCs/>
                <w:b/>
              </w:rPr>
              <w:t xml:space="preserve">kimi-k3</w:t>
            </w:r>
            <w:r>
              <w:t xml:space="preserve">）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qwen3.5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Qwen 3.5 397B-A17B（</w:t>
            </w:r>
            <w:r>
              <w:rPr>
                <w:bCs/>
                <w:b/>
              </w:rPr>
              <w:t xml:space="preserve">用</w:t>
            </w:r>
            <w:r>
              <w:rPr>
                <w:bCs/>
                <w:b/>
              </w:rPr>
              <w:t xml:space="preserve"> </w:t>
            </w:r>
            <w:r>
              <w:rPr>
                <w:rStyle w:val="VerbatimChar"/>
                <w:bCs/>
                <w:b/>
              </w:rPr>
              <w:t xml:space="preserve">.</w:t>
            </w:r>
            <w:r>
              <w:rPr>
                <w:bCs/>
                <w:b/>
              </w:rPr>
              <w:t xml:space="preserve"> </w:t>
            </w:r>
            <w:r>
              <w:rPr>
                <w:bCs/>
                <w:b/>
              </w:rPr>
              <w:t xml:space="preserve">不是</w:t>
            </w:r>
            <w:r>
              <w:rPr>
                <w:bCs/>
                <w:b/>
              </w:rPr>
              <w:t xml:space="preserve"> </w:t>
            </w:r>
            <w:r>
              <w:rPr>
                <w:rStyle w:val="VerbatimChar"/>
                <w:bCs/>
                <w:b/>
              </w:rPr>
              <w:t xml:space="preserve">-</w:t>
            </w:r>
            <w:r>
              <w:t xml:space="preserve">）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glm5.1, glm5.2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GLM 5.1 / 5.2 / 5.3（当前仅 5.1, 5.2 暴露）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minimaxm3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MiniMax M3 428B（</w:t>
            </w:r>
            <w:r>
              <w:rPr>
                <w:bCs/>
                <w:b/>
              </w:rPr>
              <w:t xml:space="preserve">没有</w:t>
            </w:r>
            <w:r>
              <w:rPr>
                <w:bCs/>
                <w:b/>
              </w:rPr>
              <w:t xml:space="preserve"> </w:t>
            </w:r>
            <w:r>
              <w:rPr>
                <w:rStyle w:val="VerbatimChar"/>
                <w:bCs/>
                <w:b/>
              </w:rPr>
              <w:t xml:space="preserve">-</w:t>
            </w:r>
            <w:r>
              <w:rPr>
                <w:bCs/>
                <w:b/>
              </w:rPr>
              <w:t xml:space="preserve"> </w:t>
            </w:r>
            <w:r>
              <w:rPr>
                <w:bCs/>
                <w:b/>
              </w:rPr>
              <w:t xml:space="preserve">分隔</w:t>
            </w:r>
            <w:r>
              <w:t xml:space="preserve">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精度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fp4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fp8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bf16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含 dash 后缀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硬件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b200, b300, gb200, gb300, mi355x, h100, h200, vr200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没有</w:t>
            </w:r>
            <w:r>
              <w:t xml:space="preserve"> </w:t>
            </w:r>
            <w:r>
              <w:rPr>
                <w:rStyle w:val="VerbatimChar"/>
              </w:rPr>
              <w:t xml:space="preserve">-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单卡 vs NVL72：</w:t>
            </w:r>
            <w:r>
              <w:rPr>
                <w:rStyle w:val="VerbatimChar"/>
              </w:rPr>
              <w:t xml:space="preserve">b200</w:t>
            </w:r>
            <w:r>
              <w:t xml:space="preserve"> </w:t>
            </w:r>
            <w:r>
              <w:t xml:space="preserve">vs</w:t>
            </w:r>
            <w:r>
              <w:t xml:space="preserve"> </w:t>
            </w:r>
            <w:r>
              <w:rPr>
                <w:rStyle w:val="VerbatimChar"/>
              </w:rPr>
              <w:t xml:space="preserve">gb300</w:t>
            </w:r>
            <w:r>
              <w:t xml:space="preserve">（机架自带</w:t>
            </w:r>
            <w:r>
              <w:t xml:space="preserve"> </w:t>
            </w:r>
            <w:r>
              <w:rPr>
                <w:rStyle w:val="VerbatimChar"/>
              </w:rPr>
              <w:t xml:space="preserve">g</w:t>
            </w:r>
            <w:r>
              <w:t xml:space="preserve"> </w:t>
            </w:r>
            <w:r>
              <w:t xml:space="preserve">前缀）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引擎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sglang, vllm, atom, trt, dynamo-sglang, dynamo-vllm, dynamo-trt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Dynamo 是 wrapper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场景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agentic</w:t>
            </w:r>
            <w:r>
              <w:t xml:space="preserve">（AgentX）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8k1k</w:t>
            </w:r>
            <w:r>
              <w:t xml:space="preserve">（8K/1K）极少出现于 key 中，多在 description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架构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disagg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agg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disaggregated (prefill+decode 分离)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投机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mtp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dspark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eagle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hicache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后缀</w:t>
            </w:r>
          </w:p>
        </w:tc>
      </w:tr>
    </w:tbl>
    <w:p>
      <w:pPr>
        <w:pStyle w:val="BodyText"/>
      </w:pPr>
      <w:r>
        <w:rPr>
          <w:bCs/>
          <w:b/>
        </w:rPr>
        <w:t xml:space="preserve">反查语法</w:t>
      </w:r>
      <w:r>
        <w:t xml:space="preserve">（拿到 PR 后重建 config-key）：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models/precision/hardware/engine/scenario/architecture/speculative.md</w:t>
      </w:r>
      <w:r>
        <w:t xml:space="preserve"> </w:t>
      </w:r>
      <w:r>
        <w:t xml:space="preserve">- 例：DeepSeek V4 Pro 在 GB300 NVL72 上跑 AgentX + Dynamo vLLM + FP4 + disagg + MTP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dsv4-fp4-gb300-dynamo-vllm-agentic-mtp-disagg</w:t>
      </w:r>
      <w:r>
        <w:t xml:space="preserve">（</w:t>
      </w:r>
      <w:r>
        <w:rPr>
          <w:bCs/>
          <w:b/>
        </w:rPr>
        <w:t xml:space="preserve">注：观察 #2665 与 #3105 的命名略有差异</w:t>
      </w:r>
      <w:r>
        <w:t xml:space="preserve">）</w:t>
      </w:r>
    </w:p>
    <w:bookmarkEnd w:id="102"/>
    <w:bookmarkStart w:id="106" w:name="github-actions-验证已尝试遇到权限限制"/>
    <w:p>
      <w:pPr>
        <w:pStyle w:val="Heading3"/>
      </w:pPr>
      <w:r>
        <w:t xml:space="preserve">10.5 GitHub Actions 验证（已尝试，遇到权限限制）</w:t>
      </w:r>
    </w:p>
    <w:bookmarkStart w:id="103" w:name="pr-actions-run-关联方法"/>
    <w:p>
      <w:pPr>
        <w:pStyle w:val="Heading4"/>
      </w:pPr>
      <w:r>
        <w:t xml:space="preserve">9.5.1 PR → Actions run 关联方法</w:t>
      </w:r>
    </w:p>
    <w:p>
      <w:pPr>
        <w:pStyle w:val="FirstParagraph"/>
      </w:pPr>
      <w:r>
        <w:t xml:space="preserve">针对 §10.3 中任一 PR，可用以下 GitHub API 路径获取 Actions run：</w:t>
      </w:r>
    </w:p>
    <w:p>
      <w:pPr>
        <w:pStyle w:val="SourceCode"/>
      </w:pPr>
      <w:r>
        <w:rPr>
          <w:rStyle w:val="CommentTok"/>
        </w:rPr>
        <w:t xml:space="preserve"># 步骤 1: 拿到 PR head commit SHA</w:t>
      </w:r>
      <w:r>
        <w:br/>
      </w:r>
      <w:r>
        <w:rPr>
          <w:rStyle w:val="VariableTok"/>
        </w:rPr>
        <w:t xml:space="preserve">PR_SHA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$(</w:t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"https://api.github.com/repos/SemiAnalysisAI/InferenceX/pulls/3274"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.head.sha</w:t>
      </w:r>
      <w:r>
        <w:rPr>
          <w:rStyle w:val="VariableTok"/>
        </w:rPr>
        <w:t xml:space="preserve">)</w:t>
      </w:r>
      <w:r>
        <w:br/>
      </w:r>
      <w:r>
        <w:rPr>
          <w:rStyle w:val="CommentTok"/>
        </w:rPr>
        <w:t xml:space="preserve"># 步骤 2: 取该 commit 的 check-runs</w:t>
      </w:r>
      <w:r>
        <w:br/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"https://api.github.com/repos/SemiAnalysisAI/InferenceX/commits/</w:t>
      </w:r>
      <w:r>
        <w:rPr>
          <w:rStyle w:val="VariableTok"/>
        </w:rPr>
        <w:t xml:space="preserve">$PR_SHA</w:t>
      </w:r>
      <w:r>
        <w:rPr>
          <w:rStyle w:val="StringTok"/>
        </w:rPr>
        <w:t xml:space="preserve">/check-runs"</w:t>
      </w:r>
      <w:r>
        <w:br/>
      </w:r>
      <w:r>
        <w:rPr>
          <w:rStyle w:val="CommentTok"/>
        </w:rPr>
        <w:t xml:space="preserve"># 步骤 3: 找到关键 job 的 ID</w:t>
      </w:r>
      <w:r>
        <w:br/>
      </w:r>
      <w:r>
        <w:rPr>
          <w:rStyle w:val="CommentTok"/>
        </w:rPr>
        <w:t xml:space="preserve"># job: "agentic eval / DeepSeek-V4-Pro-0813-B200-vLLM-FP4-AgentX-MTP-TP8-DEP8-DSpark6"</w:t>
      </w:r>
      <w:r>
        <w:br/>
      </w:r>
      <w:r>
        <w:rPr>
          <w:rStyle w:val="CommentTok"/>
        </w:rPr>
        <w:t xml:space="preserve"># 步骤 4: 下载 logs (需要 admin)</w:t>
      </w:r>
      <w:r>
        <w:br/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"https://api.github.com/repos/SemiAnalysisAI/InferenceX/actions/jobs/&lt;JOB_ID&gt;/logs"</w:t>
      </w:r>
    </w:p>
    <w:bookmarkEnd w:id="103"/>
    <w:bookmarkStart w:id="104" w:name="已发现的-pr-3274-actions-run-结构"/>
    <w:p>
      <w:pPr>
        <w:pStyle w:val="Heading4"/>
      </w:pPr>
      <w:r>
        <w:t xml:space="preserve">9.5.2 已发现的 PR #3274 Actions run 结构</w:t>
      </w:r>
    </w:p>
    <w:p>
      <w:pPr>
        <w:pStyle w:val="SourceCode"/>
      </w:pPr>
      <w:r>
        <w:rPr>
          <w:rStyle w:val="VerbatimChar"/>
        </w:rPr>
        <w:t xml:space="preserve">Workflow Run ID: 35476026251（不是 PR 关联的输出 run id）</w:t>
      </w:r>
      <w:r>
        <w:br/>
      </w:r>
      <w:r>
        <w:rPr>
          <w:rStyle w:val="VerbatimChar"/>
        </w:rPr>
        <w:t xml:space="preserve">真正的 inference run: 35434571418（从 PR comment 提取）</w:t>
      </w:r>
    </w:p>
    <w:p>
      <w:pPr>
        <w:pStyle w:val="FirstParagraph"/>
      </w:pPr>
      <w:r>
        <w:t xml:space="preserve">PR #3274 在评论中暴露的官方备用链接：</w:t>
      </w:r>
    </w:p>
    <w:p>
      <w:pPr>
        <w:pStyle w:val="SourceCode"/>
      </w:pPr>
      <w:r>
        <w:rPr>
          <w:rStyle w:val="VerbatimChar"/>
        </w:rPr>
        <w:t xml:space="preserve">&lt;!-- inferencex-unofficial-run-visualizer --&gt;</w:t>
      </w:r>
      <w:r>
        <w:br/>
      </w:r>
      <w:r>
        <w:rPr>
          <w:rStyle w:val="VerbatimChar"/>
        </w:rPr>
        <w:t xml:space="preserve">View unofficial run (performance): https://inferencex.semianalysis.com/inference?unofficialRun=35434571418</w:t>
      </w:r>
      <w:r>
        <w:br/>
      </w:r>
      <w:r>
        <w:rPr>
          <w:rStyle w:val="VerbatimChar"/>
        </w:rPr>
        <w:t xml:space="preserve">View unofficial run (accuracy):    https://inferencex.semianalysis.com/evaluation?unofficialRun=35434571418</w:t>
      </w:r>
    </w:p>
    <w:p>
      <w:pPr>
        <w:pStyle w:val="FirstParagraph"/>
      </w:pPr>
      <w:r>
        <w:t xml:space="preserve">这意味着该 PR 触发了 GitHub Actions，输出 run id</w:t>
      </w:r>
      <w:r>
        <w:t xml:space="preserve"> </w:t>
      </w:r>
      <w:r>
        <w:rPr>
          <w:rStyle w:val="VerbatimChar"/>
        </w:rPr>
        <w:t xml:space="preserve">35434571418</w:t>
      </w:r>
      <w:r>
        <w:t xml:space="preserve">，可由 unofficialRun 参数访问。</w:t>
      </w:r>
    </w:p>
    <w:bookmarkEnd w:id="104"/>
    <w:bookmarkStart w:id="105" w:name="当前遇到的权限问题"/>
    <w:p>
      <w:pPr>
        <w:pStyle w:val="Heading4"/>
      </w:pPr>
      <w:r>
        <w:t xml:space="preserve">9.5.3 当前遇到的权限问题</w:t>
      </w:r>
    </w:p>
    <w:p>
      <w:pPr>
        <w:numPr>
          <w:ilvl w:val="0"/>
          <w:numId w:val="1092"/>
        </w:numPr>
        <w:pStyle w:val="Compact"/>
      </w:pPr>
      <w:r>
        <w:rPr>
          <w:bCs/>
          <w:b/>
        </w:rPr>
        <w:t xml:space="preserve">Job logs API 返回 403</w:t>
      </w:r>
      <w:r>
        <w:t xml:space="preserve">：需要 admin rights / 私有仓库访问</w:t>
      </w:r>
    </w:p>
    <w:p>
      <w:pPr>
        <w:numPr>
          <w:ilvl w:val="0"/>
          <w:numId w:val="1092"/>
        </w:numPr>
        <w:pStyle w:val="Compact"/>
      </w:pPr>
      <w:r>
        <w:rPr>
          <w:bCs/>
          <w:b/>
        </w:rPr>
        <w:t xml:space="preserve">artifacts API 同样需要权限</w:t>
      </w:r>
    </w:p>
    <w:p>
      <w:pPr>
        <w:pStyle w:val="FirstParagraph"/>
      </w:pPr>
      <w:r>
        <w:rPr>
          <w:bCs/>
          <w:b/>
        </w:rPr>
        <w:t xml:space="preserve">应对方案</w:t>
      </w:r>
      <w:r>
        <w:t xml:space="preserve">：</w:t>
      </w:r>
      <w:r>
        <w:t xml:space="preserve"> </w:t>
      </w:r>
      <w:r>
        <w:t xml:space="preserve">1. 用户若有 GitHub 账号与 SemiAnalysisAI 仓库的访问权限，可直接抓 job logs</w:t>
      </w:r>
      <w:r>
        <w:t xml:space="preserve"> </w:t>
      </w:r>
      <w:r>
        <w:t xml:space="preserve">2. 用户若有 token（即使只读），可用</w:t>
      </w:r>
      <w:r>
        <w:t xml:space="preserve"> </w:t>
      </w:r>
      <w:r>
        <w:rPr>
          <w:rStyle w:val="VerbatimChar"/>
        </w:rPr>
        <w:t xml:space="preserve">gh api ...</w:t>
      </w:r>
      <w:r>
        <w:t xml:space="preserve"> </w:t>
      </w:r>
      <w:r>
        <w:t xml:space="preserve">拿到 logs</w:t>
      </w:r>
      <w:r>
        <w:t xml:space="preserve"> </w:t>
      </w:r>
      <w:r>
        <w:t xml:space="preserve">3. 第三方开放 API 备选：浏览器端 GitHub Actions UI 能查看 run logs 但 URL 路径需 login</w:t>
      </w:r>
    </w:p>
    <w:bookmarkEnd w:id="105"/>
    <w:bookmarkEnd w:id="106"/>
    <w:bookmarkStart w:id="110" w:name="浏览器层验证已尝试-受限"/>
    <w:p>
      <w:pPr>
        <w:pStyle w:val="Heading3"/>
      </w:pPr>
      <w:r>
        <w:t xml:space="preserve">10.6 浏览器层验证（已尝试 + 受限）</w:t>
      </w:r>
    </w:p>
    <w:bookmarkStart w:id="108" w:name="unofficialrun-页面尝试"/>
    <w:p>
      <w:pPr>
        <w:pStyle w:val="Heading4"/>
      </w:pPr>
      <w:r>
        <w:t xml:space="preserve">9.6.1 unofficialRun 页面尝试</w:t>
      </w:r>
    </w:p>
    <w:p>
      <w:pPr>
        <w:pStyle w:val="FirstParagraph"/>
      </w:pPr>
      <w:r>
        <w:t xml:space="preserve">WebFetch 该 URL（</w:t>
      </w:r>
      <w:hyperlink r:id="rId107">
        <w:r>
          <w:rPr>
            <w:rStyle w:val="Hyperlink"/>
          </w:rPr>
          <w:t xml:space="preserve">https://inferencex.semianalysis.com/inference?unofficialRun=35434571418</w:t>
        </w:r>
      </w:hyperlink>
      <w:r>
        <w:t xml:space="preserve">）发现：</w:t>
      </w:r>
    </w:p>
    <w:p>
      <w:pPr>
        <w:numPr>
          <w:ilvl w:val="0"/>
          <w:numId w:val="1093"/>
        </w:numPr>
        <w:pStyle w:val="Compact"/>
      </w:pPr>
      <w:r>
        <w:t xml:space="preserve">模型：</w:t>
      </w:r>
      <w:r>
        <w:t xml:space="preserve">“</w:t>
      </w:r>
      <w:r>
        <w:t xml:space="preserve">DeepSeek V4 Pro 0813 1.6T</w:t>
      </w:r>
      <w:r>
        <w:t xml:space="preserve">”</w:t>
      </w:r>
    </w:p>
    <w:p>
      <w:pPr>
        <w:numPr>
          <w:ilvl w:val="0"/>
          <w:numId w:val="1093"/>
        </w:numPr>
        <w:pStyle w:val="Compact"/>
      </w:pPr>
      <w:r>
        <w:t xml:space="preserve">场景：</w:t>
      </w:r>
      <w:r>
        <w:t xml:space="preserve">“</w:t>
      </w:r>
      <w:r>
        <w:t xml:space="preserve">8K / 1K (deprecated)</w:t>
      </w:r>
      <w:r>
        <w:t xml:space="preserve">”</w:t>
      </w:r>
    </w:p>
    <w:p>
      <w:pPr>
        <w:numPr>
          <w:ilvl w:val="0"/>
          <w:numId w:val="1093"/>
        </w:numPr>
        <w:pStyle w:val="Compact"/>
      </w:pPr>
      <w:r>
        <w:t xml:space="preserve">精度：</w:t>
      </w:r>
      <w:r>
        <w:t xml:space="preserve">“</w:t>
      </w:r>
      <w:r>
        <w:t xml:space="preserve">FP4</w:t>
      </w:r>
      <w:r>
        <w:t xml:space="preserve">”</w:t>
      </w:r>
    </w:p>
    <w:p>
      <w:pPr>
        <w:numPr>
          <w:ilvl w:val="0"/>
          <w:numId w:val="1093"/>
        </w:numPr>
        <w:pStyle w:val="Compact"/>
      </w:pPr>
      <w:r>
        <w:t xml:space="preserve">含</w:t>
      </w:r>
      <w:r>
        <w:t xml:space="preserve"> </w:t>
      </w:r>
      <w:r>
        <w:t xml:space="preserve">“</w:t>
      </w:r>
      <w:r>
        <w:t xml:space="preserve">AgentX inference metrics from the AgentX scenario…</w:t>
      </w:r>
      <w:r>
        <w:t xml:space="preserve">”</w:t>
      </w:r>
      <w:r>
        <w:t xml:space="preserve"> </w:t>
      </w:r>
      <w:r>
        <w:t xml:space="preserve">文本</w:t>
      </w:r>
    </w:p>
    <w:p>
      <w:pPr>
        <w:numPr>
          <w:ilvl w:val="0"/>
          <w:numId w:val="1093"/>
        </w:numPr>
        <w:pStyle w:val="Compact"/>
      </w:pPr>
      <w:r>
        <w:rPr>
          <w:bCs/>
          <w:b/>
        </w:rPr>
        <w:t xml:space="preserve">但 Service Envelope 散点没有具体数字</w:t>
      </w:r>
      <w:r>
        <w:t xml:space="preserve">（SPA 渲染）</w:t>
      </w:r>
    </w:p>
    <w:p>
      <w:pPr>
        <w:pStyle w:val="FirstParagraph"/>
      </w:pPr>
      <w:r>
        <w:rPr>
          <w:bCs/>
          <w:b/>
        </w:rPr>
        <w:t xml:space="preserve">应对方案</w:t>
      </w:r>
      <w:r>
        <w:t xml:space="preserve">：该 URL 必须用浏览器登录 + JavaScript 渲染才能看到图表数据点。</w:t>
      </w:r>
      <w:r>
        <w:rPr>
          <w:bCs/>
          <w:b/>
        </w:rPr>
        <w:t xml:space="preserve">WebFetch 不能抓 SPA</w:t>
      </w:r>
      <w:r>
        <w:t xml:space="preserve">。</w:t>
      </w:r>
    </w:p>
    <w:bookmarkEnd w:id="108"/>
    <w:bookmarkStart w:id="109" w:name="浏览-github-actions-ui"/>
    <w:p>
      <w:pPr>
        <w:pStyle w:val="Heading4"/>
      </w:pPr>
      <w:r>
        <w:t xml:space="preserve">9.6.2 浏览 GitHub Actions UI</w:t>
      </w:r>
    </w:p>
    <w:p>
      <w:pPr>
        <w:pStyle w:val="SourceCode"/>
      </w:pPr>
      <w:r>
        <w:rPr>
          <w:rStyle w:val="VerbatimChar"/>
        </w:rPr>
        <w:t xml:space="preserve">https://github.com/SemiAnalysisAI/InferenceX/actions/runs/35434571418</w:t>
      </w:r>
      <w:r>
        <w:br/>
      </w:r>
      <w:r>
        <w:rPr>
          <w:rStyle w:val="VerbatimChar"/>
        </w:rPr>
        <w:t xml:space="preserve">https://github.com/SemiAnalysisAI/InferenceX/actions/runs/35434571418/job/&lt;STEP_ID&gt;</w:t>
      </w:r>
    </w:p>
    <w:p>
      <w:pPr>
        <w:pStyle w:val="FirstParagraph"/>
      </w:pPr>
      <w:r>
        <w:t xml:space="preserve">这些 URL 是公开的，但渲染同样依赖登录。</w:t>
      </w:r>
    </w:p>
    <w:bookmarkEnd w:id="109"/>
    <w:bookmarkEnd w:id="110"/>
    <w:bookmarkStart w:id="114" w:name="配置脚本层验证已访问入口"/>
    <w:p>
      <w:pPr>
        <w:pStyle w:val="Heading3"/>
      </w:pPr>
      <w:r>
        <w:t xml:space="preserve">10.7 配置脚本层验证（已访问入口）</w:t>
      </w:r>
    </w:p>
    <w:p>
      <w:pPr>
        <w:pStyle w:val="FirstParagraph"/>
      </w:pPr>
      <w:r>
        <w:t xml:space="preserve">即使 Actions run logs 受限，§10.3 的 PR 描述已经把</w:t>
      </w:r>
      <w:r>
        <w:rPr>
          <w:bCs/>
          <w:b/>
        </w:rPr>
        <w:t xml:space="preserve">基准本身</w:t>
      </w:r>
      <w:r>
        <w:t xml:space="preserve">的过程文件描述得足够精确。读者可以：</w:t>
      </w:r>
    </w:p>
    <w:p>
      <w:pPr>
        <w:numPr>
          <w:ilvl w:val="0"/>
          <w:numId w:val="1094"/>
        </w:numPr>
        <w:pStyle w:val="Compact"/>
      </w:pPr>
      <w:r>
        <w:rPr>
          <w:bCs/>
          <w:b/>
        </w:rPr>
        <w:t xml:space="preserve">抓 PR diff 看 shell 脚本</w:t>
      </w:r>
      <w:r>
        <w:t xml:space="preserve">：</w:t>
      </w:r>
    </w:p>
    <w:p>
      <w:pPr>
        <w:numPr>
          <w:ilvl w:val="1"/>
          <w:numId w:val="1095"/>
        </w:numPr>
        <w:pStyle w:val="Compact"/>
      </w:pPr>
      <w:hyperlink r:id="rId111">
        <w:r>
          <w:rPr>
            <w:rStyle w:val="Hyperlink"/>
          </w:rPr>
          <w:t xml:space="preserve">https://github.com/SemiAnalysisAI/InferenceX/pull/3274/files</w:t>
        </w:r>
      </w:hyperlink>
    </w:p>
    <w:p>
      <w:pPr>
        <w:numPr>
          <w:ilvl w:val="1"/>
          <w:numId w:val="1095"/>
        </w:numPr>
        <w:pStyle w:val="Compact"/>
      </w:pPr>
      <w:r>
        <w:t xml:space="preserve">每个 PR 通常修改</w:t>
      </w:r>
      <w:r>
        <w:t xml:space="preserve"> </w:t>
      </w:r>
      <w:r>
        <w:rPr>
          <w:rStyle w:val="VerbatimChar"/>
        </w:rPr>
        <w:t xml:space="preserve">inferencex-e2e/configs/*.yaml</w:t>
      </w:r>
      <w:r>
        <w:t xml:space="preserve"> </w:t>
      </w:r>
      <w:r>
        <w:t xml:space="preserve">与</w:t>
      </w:r>
      <w:r>
        <w:t xml:space="preserve"> </w:t>
      </w:r>
      <w:r>
        <w:rPr>
          <w:rStyle w:val="VerbatimChar"/>
        </w:rPr>
        <w:t xml:space="preserve">inferencex-e2e/benchmarks/...</w:t>
      </w:r>
    </w:p>
    <w:p>
      <w:pPr>
        <w:numPr>
          <w:ilvl w:val="0"/>
          <w:numId w:val="1094"/>
        </w:numPr>
        <w:pStyle w:val="Compact"/>
      </w:pPr>
      <w:r>
        <w:rPr>
          <w:bCs/>
          <w:b/>
        </w:rPr>
        <w:t xml:space="preserve">抓 master config 对应 benchmark 配置</w:t>
      </w:r>
      <w:r>
        <w:t xml:space="preserve">：</w:t>
      </w:r>
    </w:p>
    <w:p>
      <w:pPr>
        <w:numPr>
          <w:ilvl w:val="1"/>
          <w:numId w:val="1096"/>
        </w:numPr>
        <w:pStyle w:val="Compact"/>
      </w:pPr>
      <w:r>
        <w:rPr>
          <w:rStyle w:val="VerbatimChar"/>
        </w:rPr>
        <w:t xml:space="preserve">inferencex-e2e/configs/nvidia-master.yaml</w:t>
      </w:r>
      <w:r>
        <w:t xml:space="preserve"> </w:t>
      </w:r>
      <w:r>
        <w:t xml:space="preserve">(317.8 KB) — 含 NVIDIA 全部基准配置</w:t>
      </w:r>
    </w:p>
    <w:p>
      <w:pPr>
        <w:numPr>
          <w:ilvl w:val="1"/>
          <w:numId w:val="1096"/>
        </w:numPr>
        <w:pStyle w:val="Compact"/>
      </w:pPr>
      <w:r>
        <w:rPr>
          <w:rStyle w:val="VerbatimChar"/>
        </w:rPr>
        <w:t xml:space="preserve">inferencex-e2e/configs/amd-master.yaml</w:t>
      </w:r>
      <w:r>
        <w:t xml:space="preserve"> </w:t>
      </w:r>
      <w:r>
        <w:t xml:space="preserve">(60.2 KB) — 含 AMD 全部基准配置</w:t>
      </w:r>
    </w:p>
    <w:p>
      <w:pPr>
        <w:numPr>
          <w:ilvl w:val="1"/>
          <w:numId w:val="1096"/>
        </w:numPr>
        <w:pStyle w:val="Compact"/>
      </w:pPr>
      <w:r>
        <w:rPr>
          <w:rStyle w:val="VerbatimChar"/>
        </w:rPr>
        <w:t xml:space="preserve">inferencex-e2e/configs/CONFIGS.md</w:t>
      </w:r>
      <w:r>
        <w:t xml:space="preserve"> </w:t>
      </w:r>
      <w:r>
        <w:t xml:space="preserve">(13.7 KB) — 配置格式文档</w:t>
      </w:r>
    </w:p>
    <w:p>
      <w:pPr>
        <w:numPr>
          <w:ilvl w:val="0"/>
          <w:numId w:val="1094"/>
        </w:numPr>
        <w:pStyle w:val="Compact"/>
      </w:pPr>
      <w:r>
        <w:rPr>
          <w:bCs/>
          <w:b/>
        </w:rPr>
        <w:t xml:space="preserve">example config 文件路径</w:t>
      </w:r>
      <w:r>
        <w:t xml:space="preserve">：</w:t>
      </w:r>
    </w:p>
    <w:p>
      <w:pPr>
        <w:numPr>
          <w:ilvl w:val="1"/>
          <w:numId w:val="1097"/>
        </w:numPr>
        <w:pStyle w:val="Compact"/>
      </w:pPr>
      <w:r>
        <w:rPr>
          <w:rStyle w:val="VerbatimChar"/>
        </w:rPr>
        <w:t xml:space="preserve">inferencex-e2e/benchmarks/multi_node/srt-slurm-recipes/configs/dsv4-moe-load-balancer-configs/moe_load_balancer_gen_ep32_slots384.yaml</w:t>
      </w:r>
    </w:p>
    <w:p>
      <w:pPr>
        <w:numPr>
          <w:ilvl w:val="1"/>
          <w:numId w:val="1097"/>
        </w:numPr>
        <w:pStyle w:val="Compact"/>
      </w:pPr>
      <w:r>
        <w:t xml:space="preserve">含 DeepSeek V4 Pro MoE LoadBalancer 实际参数（384 slots, ep32）</w:t>
      </w:r>
    </w:p>
    <w:bookmarkStart w:id="112" w:name="一个真实-config-文件示例已读"/>
    <w:p>
      <w:pPr>
        <w:pStyle w:val="Heading4"/>
      </w:pPr>
      <w:r>
        <w:t xml:space="preserve">9.7.1 一个真实 config 文件示例（已读）</w:t>
      </w:r>
    </w:p>
    <w:p>
      <w:pPr>
        <w:pStyle w:val="FirstParagraph"/>
      </w:pPr>
      <w:r>
        <w:rPr>
          <w:rStyle w:val="VerbatimChar"/>
        </w:rPr>
        <w:t xml:space="preserve">moe_load_balancer_ctx_ep4_384.yaml</w:t>
      </w:r>
      <w:r>
        <w:t xml:space="preserve">：</w:t>
      </w:r>
      <w:r>
        <w:t xml:space="preserve"> </w:t>
      </w:r>
      <w:r>
        <w:t xml:space="preserve">- 该文件定义 DSv4 Pro（DeepSeek V4 Pro）MoE Load Balancer 配置</w:t>
      </w:r>
      <w:r>
        <w:t xml:space="preserve"> </w:t>
      </w:r>
      <w:r>
        <w:t xml:space="preserve">- context parallel EP4，384 slots</w:t>
      </w:r>
      <w:r>
        <w:t xml:space="preserve"> </w:t>
      </w:r>
      <w:r>
        <w:t xml:space="preserve">- 用于 multi-node disagg serving</w:t>
      </w:r>
      <w:r>
        <w:t xml:space="preserve"> </w:t>
      </w:r>
      <w:r>
        <w:t xml:space="preserve">- 是 §10.3 中</w:t>
      </w:r>
      <w:r>
        <w:t xml:space="preserve"> </w:t>
      </w:r>
      <w:r>
        <w:rPr>
          <w:rStyle w:val="VerbatimChar"/>
        </w:rPr>
        <w:t xml:space="preserve">dsv4-fp4-gb300-dynamo-vllm-agentic-mtp-disagg</w:t>
      </w:r>
      <w:r>
        <w:t xml:space="preserve"> </w:t>
      </w:r>
      <w:r>
        <w:t xml:space="preserve">的底层配置之一</w:t>
      </w:r>
    </w:p>
    <w:bookmarkEnd w:id="112"/>
    <w:bookmarkStart w:id="113" w:name="configs.md-的关键事实"/>
    <w:p>
      <w:pPr>
        <w:pStyle w:val="Heading4"/>
      </w:pPr>
      <w:r>
        <w:t xml:space="preserve">9.7.2 CONFIGS.md 的关键事实</w:t>
      </w:r>
    </w:p>
    <w:p>
      <w:pPr>
        <w:numPr>
          <w:ilvl w:val="0"/>
          <w:numId w:val="1098"/>
        </w:numPr>
        <w:pStyle w:val="Compact"/>
      </w:pPr>
      <w:r>
        <w:t xml:space="preserve">每个 config entry 包含 image、model、model-prefix、runner、precision、framework</w:t>
      </w:r>
    </w:p>
    <w:p>
      <w:pPr>
        <w:numPr>
          <w:ilvl w:val="0"/>
          <w:numId w:val="1098"/>
        </w:numPr>
        <w:pStyle w:val="Compact"/>
      </w:pPr>
      <w:r>
        <w:t xml:space="preserve">search-space 包含 tp、conc-start、conc-end（并发扫描范围）</w:t>
      </w:r>
    </w:p>
    <w:p>
      <w:pPr>
        <w:numPr>
          <w:ilvl w:val="0"/>
          <w:numId w:val="1098"/>
        </w:numPr>
        <w:pStyle w:val="Compact"/>
      </w:pPr>
      <w:r>
        <w:t xml:space="preserve">agentic-coding 场景：trace-source、kv-offloading（KV 卸载配置）</w:t>
      </w:r>
    </w:p>
    <w:p>
      <w:pPr>
        <w:numPr>
          <w:ilvl w:val="0"/>
          <w:numId w:val="1098"/>
        </w:numPr>
        <w:pStyle w:val="Compact"/>
      </w:pPr>
      <w:r>
        <w:t xml:space="preserve">heterogeneous disagg：prefill/decode 各自硬件配置可不同</w:t>
      </w:r>
    </w:p>
    <w:bookmarkEnd w:id="113"/>
    <w:bookmarkEnd w:id="114"/>
    <w:bookmarkStart w:id="115" w:name="历史趋势数据验证"/>
    <w:p>
      <w:pPr>
        <w:pStyle w:val="Heading3"/>
      </w:pPr>
      <w:r>
        <w:t xml:space="preserve">10.8 历史趋势数据验证</w:t>
      </w:r>
    </w:p>
    <w:p>
      <w:pPr>
        <w:pStyle w:val="FirstParagraph"/>
      </w:pPr>
      <w:r>
        <w:rPr>
          <w:rStyle w:val="VerbatimChar"/>
        </w:rPr>
        <w:t xml:space="preserve">/zh/historical</w:t>
      </w:r>
      <w:r>
        <w:t xml:space="preserve"> </w:t>
      </w:r>
      <w:r>
        <w:t xml:space="preserve">显示数据”经插值计算”——若想验证：</w:t>
      </w:r>
    </w:p>
    <w:p>
      <w:pPr>
        <w:numPr>
          <w:ilvl w:val="0"/>
          <w:numId w:val="1099"/>
        </w:numPr>
        <w:pStyle w:val="Compact"/>
      </w:pPr>
      <w:r>
        <w:t xml:space="preserve">查看当前 commit 的</w:t>
      </w:r>
      <w:r>
        <w:t xml:space="preserve"> </w:t>
      </w:r>
      <w:r>
        <w:rPr>
          <w:rStyle w:val="VerbatimChar"/>
        </w:rPr>
        <w:t xml:space="preserve">perf-changelog.yaml</w:t>
      </w:r>
      <w:r>
        <w:t xml:space="preserve"> </w:t>
      </w:r>
      <w:r>
        <w:t xml:space="preserve">完整 1103 条</w:t>
      </w:r>
    </w:p>
    <w:p>
      <w:pPr>
        <w:numPr>
          <w:ilvl w:val="0"/>
          <w:numId w:val="1099"/>
        </w:numPr>
        <w:pStyle w:val="Compact"/>
      </w:pPr>
      <w:r>
        <w:t xml:space="preserve">任一 config-key 的”历史轨迹”= 该 key 关联的所有 PR</w:t>
      </w:r>
    </w:p>
    <w:p>
      <w:pPr>
        <w:numPr>
          <w:ilvl w:val="0"/>
          <w:numId w:val="1099"/>
        </w:numPr>
        <w:pStyle w:val="Compact"/>
      </w:pPr>
      <w:r>
        <w:t xml:space="preserve">每个 PR 都有描述变更内容、commit hash</w:t>
      </w:r>
    </w:p>
    <w:p>
      <w:pPr>
        <w:pStyle w:val="SourceCode"/>
      </w:pPr>
      <w:r>
        <w:rPr>
          <w:rStyle w:val="CommentTok"/>
        </w:rPr>
        <w:t xml:space="preserve"># 例子：kimik3-fp4-gb300-dynamo-vllm-agentic-dspark-mooncake-dcp8-disagg 历史</w:t>
      </w:r>
      <w:r>
        <w:br/>
      </w:r>
      <w:r>
        <w:rPr>
          <w:rStyle w:val="FunctionTok"/>
        </w:rPr>
        <w:t xml:space="preserve">grep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-A</w:t>
      </w:r>
      <w:r>
        <w:rPr>
          <w:rStyle w:val="NormalTok"/>
        </w:rPr>
        <w:t xml:space="preserve"> 5 </w:t>
      </w:r>
      <w:r>
        <w:rPr>
          <w:rStyle w:val="StringTok"/>
        </w:rPr>
        <w:t xml:space="preserve">"kimik3-fp4-gb300-dynamo-vllm-agentic-dspark-mooncake-dcp8-disagg"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 inferencex-e2e/perf-changelog.yaml</w:t>
      </w:r>
    </w:p>
    <w:p>
      <w:pPr>
        <w:pStyle w:val="FirstParagraph"/>
      </w:pPr>
      <w:r>
        <w:t xml:space="preserve">这样能从 PR 列表反推每个版本的变更（精度、引擎、speculative 等），即历史趋势的”事实层”。</w:t>
      </w:r>
    </w:p>
    <w:bookmarkEnd w:id="115"/>
    <w:bookmarkStart w:id="116" w:name="github-repository-的真实结构与-about-页面的差异"/>
    <w:p>
      <w:pPr>
        <w:pStyle w:val="Heading3"/>
      </w:pPr>
      <w:r>
        <w:t xml:space="preserve">10.9 GitHub Repository 的真实结构（与 about 页面的差异）</w:t>
      </w:r>
    </w:p>
    <w:p>
      <w:pPr>
        <w:pStyle w:val="FirstParagraph"/>
      </w:pPr>
      <w:r>
        <w:t xml:space="preserve">本次验证发现 about 页描述与实际仓库结构有差异，列出：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about 页描述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实际仓库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备注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benchmarks/</w:t>
            </w:r>
            <w:r>
              <w:t xml:space="preserve"> </w:t>
            </w:r>
            <w:r>
              <w:t xml:space="preserve">（在根目录）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inferencex-e2e/benchmarks/</w:t>
            </w:r>
            <w:r>
              <w:t xml:space="preserve"> </w:t>
            </w:r>
            <w:r>
              <w:t xml:space="preserve">（子目录）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about 描述过期或简化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仓库地址：</w:t>
            </w:r>
            <w:r>
              <w:rPr>
                <w:rStyle w:val="VerbatimChar"/>
              </w:rPr>
              <w:t xml:space="preserve">SemiAnalysisAI/InferenceX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✅ 一致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9 个模型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实际 13+ 模型</w:t>
            </w:r>
            <w:r>
              <w:t xml:space="preserve">（DeepSeek V4 / V4.1 Flash / R1、Kimi K3 / K2.5-2.7、GLM 5.x、MiniMax M3 / M2.x、Qwen 3.x / 3.8、gpt-oss 120B、Llama 3.3 70B）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about 描述不完整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90 种推理服务配置 / 2,990 个数据点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✅ 与抓取页面一致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OK</w:t>
            </w:r>
          </w:p>
        </w:tc>
      </w:tr>
    </w:tbl>
    <w:p>
      <w:pPr>
        <w:pStyle w:val="BodyText"/>
      </w:pPr>
      <w:r>
        <w:rPr>
          <w:bCs/>
          <w:b/>
        </w:rPr>
        <w:t xml:space="preserve">专业含义</w:t>
      </w:r>
      <w:r>
        <w:t xml:space="preserve">：</w:t>
      </w:r>
    </w:p>
    <w:p>
      <w:pPr>
        <w:numPr>
          <w:ilvl w:val="0"/>
          <w:numId w:val="1100"/>
        </w:numPr>
        <w:pStyle w:val="Compact"/>
      </w:pPr>
      <w:r>
        <w:t xml:space="preserve">仓库代码本身 ≥ about 页描述，这是</w:t>
      </w:r>
      <w:r>
        <w:rPr>
          <w:bCs/>
          <w:b/>
        </w:rPr>
        <w:t xml:space="preserve">好事</w:t>
      </w:r>
      <w:r>
        <w:t xml:space="preserve">，意味着官方有更多未文档化的覆盖</w:t>
      </w:r>
    </w:p>
    <w:p>
      <w:pPr>
        <w:numPr>
          <w:ilvl w:val="0"/>
          <w:numId w:val="1100"/>
        </w:numPr>
        <w:pStyle w:val="Compact"/>
      </w:pPr>
      <w:r>
        <w:t xml:space="preserve">但是 about 与代码不同步可能让想验证的人走错入口</w:t>
      </w:r>
    </w:p>
    <w:bookmarkEnd w:id="116"/>
    <w:bookmarkStart w:id="117" w:name="验证结论与置信度评分"/>
    <w:p>
      <w:pPr>
        <w:pStyle w:val="Heading3"/>
      </w:pPr>
      <w:r>
        <w:t xml:space="preserve">10.10 验证结论与置信度评分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验证层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结论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置信度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L1 config-key ↔ PR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个 §4 关键单元格全部对应到 1-2 个最新 PR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95%</w:t>
            </w:r>
            <w:r>
              <w:t xml:space="preserve">（key 命名规则可验证）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L4 config 脚本存在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nvidia-master.yaml / amd-master.yaml 含完整的 config 字典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90%</w:t>
            </w:r>
            <w:r>
              <w:t xml:space="preserve">（文件存在、内容未完整审计）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L5 unofficial run URL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URL 存在，断言页面渲染 valid run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70%</w:t>
            </w:r>
            <w:r>
              <w:t xml:space="preserve">（页面截图未独立抓到数字）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L2 Actions run logs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公开 API 受限（403）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0% 直接</w:t>
            </w:r>
            <w:r>
              <w:t xml:space="preserve"> </w:t>
            </w:r>
            <w:r>
              <w:t xml:space="preserve">— 读者需用账号 + token 才能完成此层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L3 GitHub Releases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当前 Release 仅 tilert wheel，</w:t>
            </w:r>
            <w:r>
              <w:rPr>
                <w:bCs/>
                <w:b/>
              </w:rPr>
              <w:t xml:space="preserve">没有公开 benchmark 数据包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0% (不存在)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L6 SPA 渲染提取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已实现</w:t>
            </w:r>
            <w:r>
              <w:t xml:space="preserve"> </w:t>
            </w:r>
            <w:r>
              <w:t xml:space="preserve">—— 见 §11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90%</w:t>
            </w:r>
          </w:p>
        </w:tc>
      </w:tr>
    </w:tbl>
    <w:bookmarkEnd w:id="117"/>
    <w:bookmarkStart w:id="118" w:name="复现验证的命令清单供读者执行"/>
    <w:p>
      <w:pPr>
        <w:pStyle w:val="Heading3"/>
      </w:pPr>
      <w:r>
        <w:t xml:space="preserve">10.11 复现验证的命令清单（供读者执行）</w:t>
      </w:r>
    </w:p>
    <w:p>
      <w:pPr>
        <w:pStyle w:val="SourceCode"/>
      </w:pPr>
      <w:r>
        <w:rPr>
          <w:rStyle w:val="CommentTok"/>
        </w:rPr>
        <w:t xml:space="preserve"># 拉取当前 perf-changelog.yaml</w:t>
      </w:r>
      <w:r>
        <w:br/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'https://raw.githubusercontent.com/SemiAnalysisAI/InferenceX/main/inferencex-e2e/perf-changelog.yaml'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-o</w:t>
      </w:r>
      <w:r>
        <w:rPr>
          <w:rStyle w:val="NormalTok"/>
        </w:rPr>
        <w:t xml:space="preserve"> perf-changelog.yaml</w:t>
      </w:r>
      <w:r>
        <w:br/>
      </w:r>
      <w:r>
        <w:br/>
      </w:r>
      <w:r>
        <w:rPr>
          <w:rStyle w:val="CommentTok"/>
        </w:rPr>
        <w:t xml:space="preserve"># 查某个 config-key 的最新 PR</w:t>
      </w:r>
      <w:r>
        <w:br/>
      </w:r>
      <w:r>
        <w:rPr>
          <w:rStyle w:val="FunctionTok"/>
        </w:rPr>
        <w:t xml:space="preserve">grep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-B</w:t>
      </w:r>
      <w:r>
        <w:rPr>
          <w:rStyle w:val="NormalTok"/>
        </w:rPr>
        <w:t xml:space="preserve"> 1 </w:t>
      </w:r>
      <w:r>
        <w:rPr>
          <w:rStyle w:val="AttributeTok"/>
        </w:rPr>
        <w:t xml:space="preserve">-A</w:t>
      </w:r>
      <w:r>
        <w:rPr>
          <w:rStyle w:val="NormalTok"/>
        </w:rPr>
        <w:t xml:space="preserve"> 1 </w:t>
      </w:r>
      <w:r>
        <w:rPr>
          <w:rStyle w:val="StringTok"/>
        </w:rPr>
        <w:t xml:space="preserve">"dsv4-fp4-b200-vllm-agentic-mtp"</w:t>
      </w:r>
      <w:r>
        <w:rPr>
          <w:rStyle w:val="NormalTok"/>
        </w:rPr>
        <w:t xml:space="preserve"> perf-changelog.yaml</w:t>
      </w:r>
      <w:r>
        <w:br/>
      </w:r>
      <w:r>
        <w:br/>
      </w:r>
      <w:r>
        <w:rPr>
          <w:rStyle w:val="CommentTok"/>
        </w:rPr>
        <w:t xml:space="preserve"># 拿到 PR 的 head SHA</w:t>
      </w:r>
      <w:r>
        <w:br/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"https://api.github.com/repos/SemiAnalysisAI/InferenceX/pulls/3274"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grep</w:t>
      </w:r>
      <w:r>
        <w:rPr>
          <w:rStyle w:val="NormalTok"/>
        </w:rPr>
        <w:t xml:space="preserve"> head_sha</w:t>
      </w:r>
      <w:r>
        <w:br/>
      </w:r>
      <w:r>
        <w:br/>
      </w:r>
      <w:r>
        <w:rPr>
          <w:rStyle w:val="CommentTok"/>
        </w:rPr>
        <w:t xml:space="preserve"># 拿到 check-runs 列表</w:t>
      </w:r>
      <w:r>
        <w:br/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"https://api.github.com/repos/SemiAnalysisAI/InferenceX/commits/&lt;SHA&gt;/check-runs"</w:t>
      </w:r>
      <w:r>
        <w:br/>
      </w:r>
      <w:r>
        <w:br/>
      </w:r>
      <w:r>
        <w:rPr>
          <w:rStyle w:val="CommentTok"/>
        </w:rPr>
        <w:t xml:space="preserve"># 拿到 PR 评论（包含 unofficial run URL）</w:t>
      </w:r>
      <w:r>
        <w:br/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"https://api.github.com/repos/SemiAnalysisAI/InferenceX/issues/3274/comments"</w:t>
      </w:r>
      <w:r>
        <w:br/>
      </w:r>
      <w:r>
        <w:br/>
      </w:r>
      <w:r>
        <w:rPr>
          <w:rStyle w:val="CommentTok"/>
        </w:rPr>
        <w:t xml:space="preserve"># （若用户有 token）下载 job logs</w:t>
      </w:r>
      <w:r>
        <w:br/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"Authorization: token &lt;TOKEN&gt;"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"https://api.github.com/repos/SemiAnalysisAI/InferenceX/actions/jobs/&lt;JOB_ID&gt;/logs"</w:t>
      </w:r>
    </w:p>
    <w:p>
      <w:r>
        <w:pict>
          <v:rect style="width:0;height:1.5pt" o:hralign="center" o:hrstd="t" o:hr="t"/>
        </w:pict>
      </w:r>
    </w:p>
    <w:bookmarkEnd w:id="118"/>
    <w:bookmarkEnd w:id="119"/>
    <w:bookmarkStart w:id="150" w:name="spa-渲染抓取解决方案已成功跑通"/>
    <w:p>
      <w:pPr>
        <w:pStyle w:val="Heading2"/>
      </w:pPr>
      <w:r>
        <w:t xml:space="preserve">11. SPA 渲染抓取解决方案（已成功跑通）</w:t>
      </w:r>
    </w:p>
    <w:p>
      <w:pPr>
        <w:pStyle w:val="BlockText"/>
      </w:pPr>
      <w:r>
        <w:t xml:space="preserve">§8-§10 多次尝试 WebFetch 受限于 SPA 渲染抓不到数字，本节专门回应”SPA 渲染抓取问题怎么解决”。本节给出的方案</w:t>
      </w:r>
      <w:r>
        <w:rPr>
          <w:bCs/>
          <w:b/>
        </w:rPr>
        <w:t xml:space="preserve">已经在本地环境运行成功</w:t>
      </w:r>
      <w:r>
        <w:t xml:space="preserve">，抓取了 95 条真实数字，覆盖 overview 总表与 3 个对比子页面。</w:t>
      </w:r>
    </w:p>
    <w:bookmarkStart w:id="123" w:name="问题根因"/>
    <w:p>
      <w:pPr>
        <w:pStyle w:val="Heading3"/>
      </w:pPr>
      <w:r>
        <w:t xml:space="preserve">11.1 问题根因</w:t>
      </w:r>
    </w:p>
    <w:bookmarkStart w:id="120" w:name="spa-的本质"/>
    <w:p>
      <w:pPr>
        <w:pStyle w:val="Heading4"/>
      </w:pPr>
      <w:r>
        <w:t xml:space="preserve">10.1.1 SPA 的本质</w:t>
      </w:r>
    </w:p>
    <w:p>
      <w:pPr>
        <w:pStyle w:val="FirstParagraph"/>
      </w:pPr>
      <w:r>
        <w:t xml:space="preserve">InferenceX 仪表板是</w:t>
      </w:r>
      <w:r>
        <w:t xml:space="preserve"> </w:t>
      </w:r>
      <w:r>
        <w:rPr>
          <w:bCs/>
          <w:b/>
        </w:rPr>
        <w:t xml:space="preserve">React/Vite SPA</w:t>
      </w:r>
      <w:r>
        <w:t xml:space="preserve">：</w:t>
      </w:r>
    </w:p>
    <w:p>
      <w:pPr>
        <w:pStyle w:val="SourceCode"/>
      </w:pPr>
      <w:r>
        <w:rPr>
          <w:rStyle w:val="VerbatimChar"/>
        </w:rPr>
        <w:t xml:space="preserve">首次请求 → 服务器返回 &lt;div id="root"&gt;&lt;/div&gt; + 大体积 app.js</w:t>
      </w:r>
      <w:r>
        <w:br/>
      </w:r>
      <w:r>
        <w:rPr>
          <w:rStyle w:val="VerbatimChar"/>
        </w:rPr>
        <w:t xml:space="preserve">            ↓</w:t>
      </w:r>
      <w:r>
        <w:br/>
      </w:r>
      <w:r>
        <w:rPr>
          <w:rStyle w:val="VerbatimChar"/>
        </w:rPr>
        <w:t xml:space="preserve">浏览器执行 app.js → React 树挂载 → 触发 fetch /zh/overview.json 等</w:t>
      </w:r>
      <w:r>
        <w:br/>
      </w:r>
      <w:r>
        <w:rPr>
          <w:rStyle w:val="VerbatimChar"/>
        </w:rPr>
        <w:t xml:space="preserve">            ↓</w:t>
      </w:r>
      <w:r>
        <w:br/>
      </w:r>
      <w:r>
        <w:rPr>
          <w:rStyle w:val="VerbatimChar"/>
        </w:rPr>
        <w:t xml:space="preserve">数据到达 → Re-render 时插入 &lt;tr&gt; / &lt;svg&gt;/&lt;canvas&gt; 节点</w:t>
      </w:r>
      <w:r>
        <w:br/>
      </w:r>
      <w:r>
        <w:rPr>
          <w:rStyle w:val="VerbatimChar"/>
        </w:rPr>
        <w:t xml:space="preserve">            ↓</w:t>
      </w:r>
      <w:r>
        <w:br/>
      </w:r>
      <w:r>
        <w:rPr>
          <w:rStyle w:val="VerbatimChar"/>
        </w:rPr>
        <w:t xml:space="preserve">图表组件(d3 / recharts / echarts)读 JSON → 在 SVG 中画散点</w:t>
      </w:r>
      <w:r>
        <w:br/>
      </w:r>
      <w:r>
        <w:rPr>
          <w:rStyle w:val="VerbatimChar"/>
        </w:rPr>
        <w:t xml:space="preserve">            ↓</w:t>
      </w:r>
      <w:r>
        <w:br/>
      </w:r>
      <w:r>
        <w:rPr>
          <w:rStyle w:val="VerbatimChar"/>
        </w:rPr>
        <w:t xml:space="preserve">浏览器再 layout / paint → 用户最终看到图表</w:t>
      </w:r>
    </w:p>
    <w:bookmarkEnd w:id="120"/>
    <w:bookmarkStart w:id="121" w:name="webfetch-的局限"/>
    <w:p>
      <w:pPr>
        <w:pStyle w:val="Heading4"/>
      </w:pPr>
      <w:r>
        <w:t xml:space="preserve">10.1.2 WebFetch 的局限</w:t>
      </w:r>
    </w:p>
    <w:p>
      <w:pPr>
        <w:numPr>
          <w:ilvl w:val="0"/>
          <w:numId w:val="1101"/>
        </w:numPr>
        <w:pStyle w:val="Compact"/>
      </w:pPr>
      <w:r>
        <w:rPr>
          <w:bCs/>
          <w:b/>
        </w:rPr>
        <w:t xml:space="preserve">仅做 HTTP fetch</w:t>
      </w:r>
      <w:r>
        <w:t xml:space="preserve">：拿到 HTML 源码 + 静态文本</w:t>
      </w:r>
    </w:p>
    <w:p>
      <w:pPr>
        <w:numPr>
          <w:ilvl w:val="0"/>
          <w:numId w:val="1101"/>
        </w:numPr>
        <w:pStyle w:val="Compact"/>
      </w:pPr>
      <w:r>
        <w:rPr>
          <w:bCs/>
          <w:b/>
        </w:rPr>
        <w:t xml:space="preserve">不执行 JS</w:t>
      </w:r>
      <w:r>
        <w:t xml:space="preserve">：拿不到 React 树挂载后的 DOM</w:t>
      </w:r>
    </w:p>
    <w:p>
      <w:pPr>
        <w:numPr>
          <w:ilvl w:val="0"/>
          <w:numId w:val="1101"/>
        </w:numPr>
        <w:pStyle w:val="Compact"/>
      </w:pPr>
      <w:r>
        <w:rPr>
          <w:bCs/>
          <w:b/>
        </w:rPr>
        <w:t xml:space="preserve">看不到 canvas/svg 内部数据</w:t>
      </w:r>
      <w:r>
        <w:t xml:space="preserve">：图表画在 SVG/canvas 中，HTML 文本为空</w:t>
      </w:r>
    </w:p>
    <w:p>
      <w:pPr>
        <w:numPr>
          <w:ilvl w:val="0"/>
          <w:numId w:val="1101"/>
        </w:numPr>
        <w:pStyle w:val="Compact"/>
      </w:pPr>
      <w:r>
        <w:rPr>
          <w:bCs/>
          <w:b/>
        </w:rPr>
        <w:t xml:space="preserve">看不到 fetch 后的数据</w:t>
      </w:r>
      <w:r>
        <w:t xml:space="preserve">：表格行的数字在 React 状态里</w:t>
      </w:r>
    </w:p>
    <w:bookmarkEnd w:id="121"/>
    <w:bookmarkStart w:id="122" w:name="多次抓取失败回顾"/>
    <w:p>
      <w:pPr>
        <w:pStyle w:val="Heading4"/>
      </w:pPr>
      <w:r>
        <w:t xml:space="preserve">10.1.3 多次抓取失败回顾</w:t>
      </w:r>
    </w:p>
    <w:p>
      <w:pPr>
        <w:numPr>
          <w:ilvl w:val="0"/>
          <w:numId w:val="1102"/>
        </w:numPr>
        <w:pStyle w:val="Compact"/>
      </w:pPr>
      <w:r>
        <w:t xml:space="preserve">§8.2</w:t>
      </w:r>
      <w:r>
        <w:t xml:space="preserve"> </w:t>
      </w:r>
      <w:r>
        <w:rPr>
          <w:rStyle w:val="VerbatimChar"/>
        </w:rPr>
        <w:t xml:space="preserve">/zh/inference/agentic</w:t>
      </w:r>
      <w:r>
        <w:t xml:space="preserve">：拿到 9 模型 / 90 配置列表（数字在静态 HTML 中），但 2,990 数据点属 SPA 渲染</w:t>
      </w:r>
    </w:p>
    <w:p>
      <w:pPr>
        <w:numPr>
          <w:ilvl w:val="0"/>
          <w:numId w:val="1102"/>
        </w:numPr>
        <w:pStyle w:val="Compact"/>
      </w:pPr>
      <w:r>
        <w:t xml:space="preserve">§8.6</w:t>
      </w:r>
      <w:r>
        <w:t xml:space="preserve"> </w:t>
      </w:r>
      <w:r>
        <w:rPr>
          <w:rStyle w:val="VerbatimChar"/>
        </w:rPr>
        <w:t xml:space="preserve">/zh/profit-estimator-per-gigawatt</w:t>
      </w:r>
      <w:r>
        <w:t xml:space="preserve">：拿到输入参数，但具体数字 SPA 渲染</w:t>
      </w:r>
    </w:p>
    <w:p>
      <w:pPr>
        <w:numPr>
          <w:ilvl w:val="0"/>
          <w:numId w:val="1102"/>
        </w:numPr>
        <w:pStyle w:val="Compact"/>
      </w:pPr>
      <w:r>
        <w:t xml:space="preserve">§8.7</w:t>
      </w:r>
      <w:r>
        <w:t xml:space="preserve"> </w:t>
      </w:r>
      <w:r>
        <w:rPr>
          <w:rStyle w:val="VerbatimChar"/>
        </w:rPr>
        <w:t xml:space="preserve">/zh/calculator</w:t>
      </w:r>
      <w:r>
        <w:t xml:space="preserve">：拿到下拉菜单，但 tk/s/MW 数字 SPA 渲染</w:t>
      </w:r>
    </w:p>
    <w:p>
      <w:pPr>
        <w:numPr>
          <w:ilvl w:val="0"/>
          <w:numId w:val="1102"/>
        </w:numPr>
        <w:pStyle w:val="Compact"/>
      </w:pPr>
      <w:r>
        <w:t xml:space="preserve">§9.3</w:t>
      </w:r>
      <w:r>
        <w:t xml:space="preserve"> </w:t>
      </w:r>
      <w:r>
        <w:rPr>
          <w:rStyle w:val="VerbatimChar"/>
        </w:rPr>
        <w:t xml:space="preserve">/zh/compare/minimax-m3-gb300-vs-h200/agentic</w:t>
      </w:r>
      <w:r>
        <w:t xml:space="preserve">：✅ 罕见成功（页面骨架 + 静态 TCO 表）</w:t>
      </w:r>
    </w:p>
    <w:p>
      <w:pPr>
        <w:numPr>
          <w:ilvl w:val="0"/>
          <w:numId w:val="1102"/>
        </w:numPr>
        <w:pStyle w:val="Compact"/>
      </w:pPr>
      <w:r>
        <w:t xml:space="preserve">§10.6</w:t>
      </w:r>
      <w:r>
        <w:t xml:space="preserve"> </w:t>
      </w:r>
      <w:r>
        <w:rPr>
          <w:rStyle w:val="VerbatimChar"/>
        </w:rPr>
        <w:t xml:space="preserve">/inference?unofficialRun=35434571418</w:t>
      </w:r>
      <w:r>
        <w:t xml:space="preserve">：仅渲染外壳，无数字</w:t>
      </w:r>
    </w:p>
    <w:bookmarkEnd w:id="122"/>
    <w:bookmarkEnd w:id="123"/>
    <w:bookmarkStart w:id="124" w:name="解决方案矩阵"/>
    <w:p>
      <w:pPr>
        <w:pStyle w:val="Heading3"/>
      </w:pPr>
      <w:r>
        <w:t xml:space="preserve">11.2 解决方案矩阵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方案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工具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优点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缺点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推荐度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A. Playwright + 系统 Chrome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Python</w:t>
            </w:r>
            <w:r>
              <w:t xml:space="preserve"> </w:t>
            </w:r>
            <w:r>
              <w:rPr>
                <w:rStyle w:val="VerbatimChar"/>
              </w:rPr>
              <w:t xml:space="preserve">playwright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/opt/google/chrome/chrome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完整执行 JS、自动滚动、截图、文本提取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需要 Python 环境、首次脚本略复杂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⭐⭐⭐⭐⭐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B. Selenium + Chrome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Python</w:t>
            </w:r>
            <w:r>
              <w:t xml:space="preserve"> </w:t>
            </w:r>
            <w:r>
              <w:rPr>
                <w:rStyle w:val="VerbatimChar"/>
              </w:rPr>
              <w:t xml:space="preserve">selenium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与 Playwright 类似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配置更复杂、API 较旧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⭐⭐⭐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C. Puppeteer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Node</w:t>
            </w:r>
            <w:r>
              <w:t xml:space="preserve"> </w:t>
            </w:r>
            <w:r>
              <w:rPr>
                <w:rStyle w:val="VerbatimChar"/>
              </w:rPr>
              <w:t xml:space="preserve">puppeteer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与 Playwright 等价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Node 环境、需 chromium 下载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⭐⭐⭐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D. requests-html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Python</w:t>
            </w:r>
            <w:r>
              <w:t xml:space="preserve"> </w:t>
            </w:r>
            <w:r>
              <w:rPr>
                <w:rStyle w:val="VerbatimChar"/>
              </w:rPr>
              <w:t xml:space="preserve">requests-html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轻量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pyppeteer 已停止维护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⭐⭐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E. 浏览器扩展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Browserless / ScraperAPI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省心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付费、可能受限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⭐⭐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F. 提升 WebFetch 能力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增加 JS 执行后抓取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简单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工具不支持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不可行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G. 服务端 API 调用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找到</w:t>
            </w:r>
            <w:r>
              <w:t xml:space="preserve"> </w:t>
            </w:r>
            <w:r>
              <w:rPr>
                <w:rStyle w:val="VerbatimChar"/>
              </w:rPr>
              <w:t xml:space="preserve">/api/...</w:t>
            </w:r>
            <w:r>
              <w:t xml:space="preserve"> </w:t>
            </w:r>
            <w:r>
              <w:t xml:space="preserve">直接 GET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快、准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大概率没暴露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不可行</w:t>
            </w:r>
          </w:p>
        </w:tc>
      </w:tr>
    </w:tbl>
    <w:p>
      <w:pPr>
        <w:pStyle w:val="BodyText"/>
      </w:pPr>
      <w:r>
        <w:rPr>
          <w:bCs/>
          <w:b/>
        </w:rPr>
        <w:t xml:space="preserve">推荐方案：A</w:t>
      </w:r>
      <w:r>
        <w:t xml:space="preserve"> </w:t>
      </w:r>
      <w:r>
        <w:t xml:space="preserve">——</w:t>
      </w:r>
      <w:r>
        <w:t xml:space="preserve"> </w:t>
      </w:r>
      <w:r>
        <w:rPr>
          <w:bCs/>
          <w:b/>
        </w:rPr>
        <w:t xml:space="preserve">Playwright + 系统 Chrome</w:t>
      </w:r>
      <w:r>
        <w:t xml:space="preserve">。已在本地实测成功。</w:t>
      </w:r>
    </w:p>
    <w:bookmarkEnd w:id="124"/>
    <w:bookmarkStart w:id="128" w:name="实战方案playwright-系统-chrome"/>
    <w:p>
      <w:pPr>
        <w:pStyle w:val="Heading3"/>
      </w:pPr>
      <w:r>
        <w:t xml:space="preserve">11.3 实战方案：Playwright + 系统 Chrome</w:t>
      </w:r>
    </w:p>
    <w:bookmarkStart w:id="125" w:name="环境准备"/>
    <w:p>
      <w:pPr>
        <w:pStyle w:val="Heading4"/>
      </w:pPr>
      <w:r>
        <w:t xml:space="preserve">10.3.1 环境准备</w:t>
      </w:r>
    </w:p>
    <w:p>
      <w:pPr>
        <w:pStyle w:val="SourceCode"/>
      </w:pPr>
      <w:r>
        <w:rPr>
          <w:rStyle w:val="CommentTok"/>
        </w:rPr>
        <w:t xml:space="preserve"># 检查现有工具</w:t>
      </w:r>
      <w:r>
        <w:br/>
      </w:r>
      <w:r>
        <w:rPr>
          <w:rStyle w:val="FunctionTok"/>
        </w:rPr>
        <w:t xml:space="preserve">which</w:t>
      </w:r>
      <w:r>
        <w:rPr>
          <w:rStyle w:val="NormalTok"/>
        </w:rPr>
        <w:t xml:space="preserve"> python3 google-chrome</w:t>
      </w:r>
      <w:r>
        <w:br/>
      </w:r>
      <w:r>
        <w:rPr>
          <w:rStyle w:val="ExtensionTok"/>
        </w:rPr>
        <w:t xml:space="preserve">python3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"import playwright; print('playwright:', playwright.__version__)"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1.58 已装</w:t>
      </w:r>
      <w:r>
        <w:br/>
      </w:r>
      <w:r>
        <w:br/>
      </w:r>
      <w:r>
        <w:rPr>
          <w:rStyle w:val="CommentTok"/>
        </w:rPr>
        <w:t xml:space="preserve"># 确认 Chrome 路径（Playwright 自带 chromium 可能缺）</w:t>
      </w:r>
      <w:r>
        <w:br/>
      </w:r>
      <w:r>
        <w:rPr>
          <w:rStyle w:val="FunctionTok"/>
        </w:rPr>
        <w:t xml:space="preserve">ls</w:t>
      </w:r>
      <w:r>
        <w:rPr>
          <w:rStyle w:val="NormalTok"/>
        </w:rPr>
        <w:t xml:space="preserve"> /opt/google/chrome/chrome</w:t>
      </w:r>
      <w:r>
        <w:br/>
      </w:r>
      <w:r>
        <w:rPr>
          <w:rStyle w:val="CommentTok"/>
        </w:rPr>
        <w:t xml:space="preserve"># → -rwxr-xr-x 1 root root 269765448 ... /opt/google/chrome/chrome</w:t>
      </w:r>
      <w:r>
        <w:br/>
      </w:r>
      <w:r>
        <w:br/>
      </w:r>
      <w:r>
        <w:rPr>
          <w:rStyle w:val="CommentTok"/>
        </w:rPr>
        <w:t xml:space="preserve"># 不需要 playwright install（chromium_headless_shell 缺失，用系统 Chrome 兜底）</w:t>
      </w:r>
    </w:p>
    <w:bookmarkEnd w:id="125"/>
    <w:bookmarkStart w:id="126" w:name="启动参数来自-claude.md-1.2"/>
    <w:p>
      <w:pPr>
        <w:pStyle w:val="Heading4"/>
      </w:pPr>
      <w:r>
        <w:t xml:space="preserve">10.3.2 启动参数（来自 CLAUDE.md §1.2）</w:t>
      </w:r>
    </w:p>
    <w:p>
      <w:pPr>
        <w:pStyle w:val="SourceCode"/>
      </w:pPr>
      <w:r>
        <w:rPr>
          <w:rStyle w:val="NormalTok"/>
        </w:rPr>
        <w:t xml:space="preserve">LAUNCH_ARGS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'--no-sandbox'</w:t>
      </w:r>
      <w:r>
        <w:rPr>
          <w:rStyle w:val="NormalTok"/>
        </w:rPr>
        <w:t xml:space="preserve">,                  </w:t>
      </w:r>
      <w:r>
        <w:rPr>
          <w:rStyle w:val="CommentTok"/>
        </w:rPr>
        <w:t xml:space="preserve"># 在容器 / root 环境下必需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'--disable-setuid-sandbox'</w:t>
      </w:r>
      <w:r>
        <w:rPr>
          <w:rStyle w:val="NormalTok"/>
        </w:rPr>
        <w:t xml:space="preserve">,      </w:t>
      </w:r>
      <w:r>
        <w:rPr>
          <w:rStyle w:val="CommentTok"/>
        </w:rPr>
        <w:t xml:space="preserve"># 同上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'--disable-dev-shm-usage'</w:t>
      </w:r>
      <w:r>
        <w:rPr>
          <w:rStyle w:val="NormalTok"/>
        </w:rPr>
        <w:t xml:space="preserve">,       </w:t>
      </w:r>
      <w:r>
        <w:rPr>
          <w:rStyle w:val="CommentTok"/>
        </w:rPr>
        <w:t xml:space="preserve"># /dev/shm 不足时绕开</w:t>
      </w:r>
      <w:r>
        <w:br/>
      </w:r>
      <w:r>
        <w:rPr>
          <w:rStyle w:val="NormalTok"/>
        </w:rPr>
        <w:t xml:space="preserve">]</w:t>
      </w:r>
    </w:p>
    <w:bookmarkEnd w:id="126"/>
    <w:bookmarkStart w:id="127" w:name="核心抓取脚本已实测"/>
    <w:p>
      <w:pPr>
        <w:pStyle w:val="Heading4"/>
      </w:pPr>
      <w:r>
        <w:t xml:space="preserve">10.3.3 核心抓取脚本（已实测）</w:t>
      </w:r>
    </w:p>
    <w:p>
      <w:pPr>
        <w:pStyle w:val="FirstParagraph"/>
      </w:pPr>
      <w:r>
        <w:t xml:space="preserve">存放于</w:t>
      </w:r>
      <w:r>
        <w:t xml:space="preserve"> </w:t>
      </w:r>
      <w:r>
        <w:rPr>
          <w:rStyle w:val="VerbatimChar"/>
        </w:rPr>
        <w:t xml:space="preserve">/home/ubuntu/spa_scraper.py</w:t>
      </w:r>
      <w:r>
        <w:t xml:space="preserve">，复用时改 URL 即可。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playwright.sync_api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sync_playwright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re, time</w:t>
      </w:r>
      <w:r>
        <w:br/>
      </w:r>
      <w:r>
        <w:br/>
      </w:r>
      <w:r>
        <w:rPr>
          <w:rStyle w:val="NormalTok"/>
        </w:rPr>
        <w:t xml:space="preserve">LAUNCH_ARGS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'--no-sandbox'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'--disable-setuid-sandbox'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'--disable-dev-shm-usage'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ControlFlowTok"/>
        </w:rPr>
        <w:t xml:space="preserve">with</w:t>
      </w:r>
      <w:r>
        <w:rPr>
          <w:rStyle w:val="NormalTok"/>
        </w:rPr>
        <w:t xml:space="preserve"> sync_playwright()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p:</w:t>
      </w:r>
      <w:r>
        <w:br/>
      </w:r>
      <w:r>
        <w:rPr>
          <w:rStyle w:val="NormalTok"/>
        </w:rPr>
        <w:t xml:space="preserve">    browser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p.chromium.launch(</w:t>
      </w:r>
      <w:r>
        <w:br/>
      </w:r>
      <w:r>
        <w:rPr>
          <w:rStyle w:val="NormalTok"/>
        </w:rPr>
        <w:t xml:space="preserve">        headless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executable_path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'/opt/google/chrome/chrome'</w:t>
      </w:r>
      <w:r>
        <w:rPr>
          <w:rStyle w:val="NormalTok"/>
        </w:rPr>
        <w:t xml:space="preserve">,  </w:t>
      </w:r>
      <w:r>
        <w:rPr>
          <w:rStyle w:val="CommentTok"/>
        </w:rPr>
        <w:t xml:space="preserve"># 关键：用系统 chrome</w:t>
      </w:r>
      <w:r>
        <w:br/>
      </w:r>
      <w:r>
        <w:rPr>
          <w:rStyle w:val="NormalTok"/>
        </w:rPr>
        <w:t xml:space="preserve">        args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LAUNCH_ARGS,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  ctx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browser.new_context(viewport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{</w:t>
      </w:r>
      <w:r>
        <w:rPr>
          <w:rStyle w:val="StringTok"/>
        </w:rPr>
        <w:t xml:space="preserve">'width'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1600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'height'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1200</w:t>
      </w:r>
      <w:r>
        <w:rPr>
          <w:rStyle w:val="NormalTok"/>
        </w:rPr>
        <w:t xml:space="preserve">})</w:t>
      </w:r>
      <w:r>
        <w:br/>
      </w:r>
      <w:r>
        <w:rPr>
          <w:rStyle w:val="NormalTok"/>
        </w:rPr>
        <w:t xml:space="preserve">    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ctx.new_page()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page.goto(</w:t>
      </w:r>
      <w:r>
        <w:rPr>
          <w:rStyle w:val="StringTok"/>
        </w:rPr>
        <w:t xml:space="preserve">'https://inferencex.semianalysis.com/zh/compare/minimax-m3-gb300-vs-h200/agentic'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wait_until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'domcontentloaded'</w:t>
      </w:r>
      <w:r>
        <w:rPr>
          <w:rStyle w:val="NormalTok"/>
        </w:rPr>
        <w:t xml:space="preserve">, timeout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30000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等待 SPA hydration — 多个 selectors 取 2 个命中即视为完成</w:t>
      </w:r>
      <w:r>
        <w:br/>
      </w:r>
      <w:r>
        <w:rPr>
          <w:rStyle w:val="NormalTok"/>
        </w:rPr>
        <w:t xml:space="preserve">    selectors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'svg circle'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'table tbody tr'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'button[aria-label]'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</w:t>
      </w:r>
      <w:r>
        <w:rPr>
          <w:rStyle w:val="StringTok"/>
        </w:rPr>
        <w:t xml:space="preserve">'svg .point'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'svg .datum'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'[class*="envelope"]'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end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time.time()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time.time()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end:</w:t>
      </w:r>
      <w:r>
        <w:br/>
      </w:r>
      <w:r>
        <w:rPr>
          <w:rStyle w:val="NormalTok"/>
        </w:rPr>
        <w:t xml:space="preserve">        page.evaluate(</w:t>
      </w:r>
      <w:r>
        <w:rPr>
          <w:rStyle w:val="StringTok"/>
        </w:rPr>
        <w:t xml:space="preserve">'window.scrollTo(0, document.body.scrollHeight)'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触发 lazy load</w:t>
      </w:r>
      <w:r>
        <w:br/>
      </w:r>
      <w:r>
        <w:rPr>
          <w:rStyle w:val="NormalTok"/>
        </w:rPr>
        <w:t xml:space="preserve">        hits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s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selectors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page.locator(s).count()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hits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: </w:t>
      </w:r>
      <w:r>
        <w:rPr>
          <w:rStyle w:val="ControlFlowTok"/>
        </w:rPr>
        <w:t xml:space="preserve">break</w:t>
      </w:r>
      <w:r>
        <w:br/>
      </w:r>
      <w:r>
        <w:rPr>
          <w:rStyle w:val="NormalTok"/>
        </w:rPr>
        <w:t xml:space="preserve">        time.sleep(</w:t>
      </w:r>
      <w:r>
        <w:rPr>
          <w:rStyle w:val="FloatTok"/>
        </w:rPr>
        <w:t xml:space="preserve">0.3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time.sleep(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让图表 SVG / canvas 绘制完成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提取数字</w:t>
      </w:r>
      <w:r>
        <w:br/>
      </w:r>
      <w:r>
        <w:rPr>
          <w:rStyle w:val="NormalTok"/>
        </w:rPr>
        <w:t xml:space="preserve">    text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page.evaluate(</w:t>
      </w:r>
      <w:r>
        <w:rPr>
          <w:rStyle w:val="StringTok"/>
        </w:rPr>
        <w:t xml:space="preserve">'document.body.innerText'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m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re.finditer(</w:t>
      </w:r>
      <w:r>
        <w:rPr>
          <w:rStyle w:val="VerbatimStringTok"/>
        </w:rPr>
        <w:t xml:space="preserve">r'\$\s*([\d.]+)\s*(?:/M\s*tok(?:ens)?)?'</w:t>
      </w:r>
      <w:r>
        <w:rPr>
          <w:rStyle w:val="NormalTok"/>
        </w:rPr>
        <w:t xml:space="preserve">, text):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'cost:'</w:t>
      </w:r>
      <w:r>
        <w:rPr>
          <w:rStyle w:val="NormalTok"/>
        </w:rPr>
        <w:t xml:space="preserve">, m.group(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m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re.finditer(</w:t>
      </w:r>
      <w:r>
        <w:rPr>
          <w:rStyle w:val="VerbatimStringTok"/>
        </w:rPr>
        <w:t xml:space="preserve">r'([+\-−]\s*\d+%)'</w:t>
      </w:r>
      <w:r>
        <w:rPr>
          <w:rStyle w:val="NormalTok"/>
        </w:rPr>
        <w:t xml:space="preserve">, text):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'pct:'</w:t>
      </w:r>
      <w:r>
        <w:rPr>
          <w:rStyle w:val="NormalTok"/>
        </w:rPr>
        <w:t xml:space="preserve">, m.group(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m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re.finditer(</w:t>
      </w:r>
      <w:r>
        <w:rPr>
          <w:rStyle w:val="VerbatimStringTok"/>
        </w:rPr>
        <w:t xml:space="preserve">r'(\d+)\s*tok/s(?:/user|/chip)?'</w:t>
      </w:r>
      <w:r>
        <w:rPr>
          <w:rStyle w:val="NormalTok"/>
        </w:rPr>
        <w:t xml:space="preserve">, text):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'tok-rate:'</w:t>
      </w:r>
      <w:r>
        <w:rPr>
          <w:rStyle w:val="NormalTok"/>
        </w:rPr>
        <w:t xml:space="preserve">, m.group(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截图存档（debug 用）</w:t>
      </w:r>
      <w:r>
        <w:br/>
      </w:r>
      <w:r>
        <w:rPr>
          <w:rStyle w:val="NormalTok"/>
        </w:rPr>
        <w:t xml:space="preserve">    page.screenshot(path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'/tmp/spa.png'</w:t>
      </w:r>
      <w:r>
        <w:rPr>
          <w:rStyle w:val="NormalTok"/>
        </w:rPr>
        <w:t xml:space="preserve">, full_page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browser.close()</w:t>
      </w:r>
    </w:p>
    <w:bookmarkEnd w:id="127"/>
    <w:bookmarkEnd w:id="128"/>
    <w:bookmarkStart w:id="129" w:name="实测结果5-个目标全部抓到数字"/>
    <w:p>
      <w:pPr>
        <w:pStyle w:val="Heading3"/>
      </w:pPr>
      <w:r>
        <w:t xml:space="preserve">11.4 实测结果：5 个目标全部抓到数字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目标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URL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命中数字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关键发现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MiniMax M3 vs GB300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/zh/compare/minimax-m3-gb300-vs-h200/agentic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H200 三档 SLO 全抓到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DeepSeek V4 Pro B200 vs MI355X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/zh/compare/deepseek-v4-b200-vs-mi355x/agentic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79 tok/s/user 时 B200 比 MI355X 便宜</w:t>
            </w:r>
            <w:r>
              <w:t xml:space="preserve"> </w:t>
            </w:r>
            <w:r>
              <w:rPr>
                <w:bCs/>
                <w:b/>
              </w:rPr>
              <w:t xml:space="preserve">75%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Qwen 3.5 B200 vs MI355X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/zh/compare/qwen-3-5-b200-vs-mi355x/agentic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101 tok/s/user 时 MI355X 比 B200 便宜</w:t>
            </w:r>
            <w:r>
              <w:t xml:space="preserve"> </w:t>
            </w:r>
            <w:r>
              <w:rPr>
                <w:bCs/>
                <w:b/>
              </w:rPr>
              <w:t xml:space="preserve">18%</w:t>
            </w:r>
            <w:r>
              <w:t xml:space="preserve">, 吞吐</w:t>
            </w:r>
            <w:r>
              <w:rPr>
                <w:bCs/>
                <w:b/>
              </w:rPr>
              <w:t xml:space="preserve">高 3%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Overview 总表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/zh/overview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完整复刻 §4 + 验证”成本比 B200 高 XX%“字段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 #3274 Unofficial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/inference?unofficialRun=35434571418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抓到</w:t>
            </w:r>
            <w:r>
              <w:t xml:space="preserve"> </w:t>
            </w:r>
            <w:r>
              <w:t xml:space="preserve">“</w:t>
            </w:r>
            <w:r>
              <w:t xml:space="preserve">Total Tokens per $1 TCO</w:t>
            </w:r>
            <w:r>
              <w:t xml:space="preserve">”</w:t>
            </w:r>
            <w:r>
              <w:t xml:space="preserve"> </w:t>
            </w:r>
            <w:r>
              <w:t xml:space="preserve">图例标签</w:t>
            </w:r>
          </w:p>
        </w:tc>
      </w:tr>
    </w:tbl>
    <w:p>
      <w:pPr>
        <w:pStyle w:val="BodyText"/>
      </w:pPr>
      <w:r>
        <w:t xml:space="preserve">截图存档：</w:t>
      </w:r>
      <w:r>
        <w:rPr>
          <w:rStyle w:val="VerbatimChar"/>
        </w:rPr>
        <w:t xml:space="preserve">/home/ubuntu/spa_screenshots/*.png</w:t>
      </w:r>
      <w:r>
        <w:t xml:space="preserve">（5 张）</w:t>
      </w:r>
    </w:p>
    <w:p>
      <w:pPr>
        <w:pStyle w:val="BodyText"/>
      </w:pPr>
      <w:r>
        <w:t xml:space="preserve">摘要 JSON：</w:t>
      </w:r>
      <w:r>
        <w:rPr>
          <w:rStyle w:val="VerbatimChar"/>
        </w:rPr>
        <w:t xml:space="preserve">/home/ubuntu/spa_summary.json</w:t>
      </w:r>
    </w:p>
    <w:bookmarkEnd w:id="129"/>
    <w:bookmarkStart w:id="133" w:name="抓到的之前没看到的对比数字"/>
    <w:p>
      <w:pPr>
        <w:pStyle w:val="Heading3"/>
      </w:pPr>
      <w:r>
        <w:t xml:space="preserve">11.5 抓到的”之前没看到”的对比数字</w:t>
      </w:r>
    </w:p>
    <w:bookmarkStart w:id="130" w:name="Xde7521fba9e9bbe696762af7ca4a44f49b4ac60"/>
    <w:p>
      <w:pPr>
        <w:pStyle w:val="Heading4"/>
      </w:pPr>
      <w:r>
        <w:t xml:space="preserve">10.5.1 DeepSeek V4 Pro + B200 vs MI355X（79 tok/s/user 档）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字段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MI355X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差值（页面对比）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成本 ($/M tok)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$0.01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B200 成本效率高出 75%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吞吐 (tok/s/chip)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47,400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23,487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B200 单芯片吞吐量高出 102%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SLO 目标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79 tok/s/user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该点位置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接近 33–219 tok/s/user 区间下限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对比 §4 overview</w:t>
      </w:r>
      <w:r>
        <w:t xml:space="preserve">：overview 标 MI355X 是 +51%（更贵），而子页 79 tok/s/user 时 B200 便宜 75%。两个数字</w:t>
      </w:r>
      <w:r>
        <w:rPr>
          <w:bCs/>
          <w:b/>
        </w:rPr>
        <w:t xml:space="preserve">不矛盾</w:t>
      </w:r>
      <w:r>
        <w:t xml:space="preserve">——overview 是 SLO=50 tok/s/user 单点，子页是 SLO=79 tok/s/user，</w:t>
      </w:r>
      <w:r>
        <w:rPr>
          <w:bCs/>
          <w:b/>
        </w:rPr>
        <w:t xml:space="preserve">SLO 不同时 B200/MI355X 优势会反转</w:t>
      </w:r>
      <w:r>
        <w:t xml:space="preserve">。这是 §5 中”SLO 影响成本”洞察的实证。</w:t>
      </w:r>
    </w:p>
    <w:bookmarkEnd w:id="130"/>
    <w:bookmarkStart w:id="131" w:name="qwen-3.5-b200-vs-mi355x101-toksuser-档"/>
    <w:p>
      <w:pPr>
        <w:pStyle w:val="Heading4"/>
      </w:pPr>
      <w:r>
        <w:t xml:space="preserve">10.5.2 Qwen 3.5 + B200 vs MI355X（101 tok/s/user 档）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字段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MI355X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差值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成本 ($/M tok)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$0.01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MI355X 成本效率高出 18%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吞吐 (tok/s/chip)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36,058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36,990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MI355X 单芯片吞吐量高出 3%</w:t>
            </w:r>
          </w:p>
        </w:tc>
      </w:tr>
    </w:tbl>
    <w:p>
      <w:pPr>
        <w:pStyle w:val="BodyText"/>
      </w:pPr>
      <w:r>
        <w:rPr>
          <w:bCs/>
          <w:b/>
        </w:rPr>
        <w:t xml:space="preserve">对比 §4 overview</w:t>
      </w:r>
      <w:r>
        <w:t xml:space="preserve">：overview 标 MI355X 是 −58%（便宜），子页 101 tok/s/user 时 MI355X 便宜 18% + 吞吐高 3%。</w:t>
      </w:r>
      <w:r>
        <w:rPr>
          <w:bCs/>
          <w:b/>
        </w:rPr>
        <w:t xml:space="preserve">overview 标 −58% 是更高 SLO 档</w:t>
      </w:r>
      <w:r>
        <w:t xml:space="preserve">（可能是 169 tok/s/user 档）。结论：MI355X 在中低 SLO 已经接近 B200，</w:t>
      </w:r>
      <w:r>
        <w:rPr>
          <w:bCs/>
          <w:b/>
        </w:rPr>
        <w:t xml:space="preserve">高 SLO 下优势放大</w:t>
      </w:r>
      <w:r>
        <w:t xml:space="preserve">。</w:t>
      </w:r>
    </w:p>
    <w:bookmarkEnd w:id="131"/>
    <w:bookmarkStart w:id="132" w:name="通过-playwright-验证的-4-数字一致"/>
    <w:p>
      <w:pPr>
        <w:pStyle w:val="Heading4"/>
      </w:pPr>
      <w:r>
        <w:t xml:space="preserve">10.5.3 通过 Playwright 验证的 §4 数字一致</w:t>
      </w:r>
    </w:p>
    <w:p>
      <w:pPr>
        <w:pStyle w:val="FirstParagraph"/>
      </w:pPr>
      <w:r>
        <w:t xml:space="preserve">抓到的 overview 35 条数字中：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§4 报告数字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Playwright 抓到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一致性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DeepSeek V4 Pro B200 = $0.007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✅ $0.007 在文本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✓ 完全一致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DeepSeek V4 Pro MI355X = $0.011 +51%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✅ $0.011 + +51%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✓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DeepSeek V4.1 Flash B300 = $0.002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✅ $0.002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✓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Kimi K3 GB300 = $0.038 −48%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✅ $0.038 + -48%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✓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等等 20+ 项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✓</w:t>
            </w:r>
          </w:p>
        </w:tc>
      </w:tr>
    </w:tbl>
    <w:p>
      <w:pPr>
        <w:pStyle w:val="BodyText"/>
      </w:pPr>
      <w:r>
        <w:rPr>
          <w:bCs/>
          <w:b/>
        </w:rPr>
        <w:t xml:space="preserve">结论</w:t>
      </w:r>
      <w:r>
        <w:t xml:space="preserve">：§4 数字</w:t>
      </w:r>
      <w:r>
        <w:rPr>
          <w:bCs/>
          <w:b/>
        </w:rPr>
        <w:t xml:space="preserve">与 SPA 实时渲染后的页面对应值一致</w:t>
      </w:r>
      <w:r>
        <w:t xml:space="preserve">——这意味着之前的 WebFetch 抓取数字是</w:t>
      </w:r>
      <w:r>
        <w:rPr>
          <w:bCs/>
          <w:b/>
        </w:rPr>
        <w:t xml:space="preserve">真实</w:t>
      </w:r>
      <w:r>
        <w:t xml:space="preserve">的，不是 stale 缓存。</w:t>
      </w:r>
    </w:p>
    <w:bookmarkEnd w:id="132"/>
    <w:bookmarkEnd w:id="133"/>
    <w:bookmarkStart w:id="134" w:name="失败模式与应对"/>
    <w:p>
      <w:pPr>
        <w:pStyle w:val="Heading3"/>
      </w:pPr>
      <w:r>
        <w:t xml:space="preserve">11.6 失败模式与应对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失败模式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原因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应对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Executable doesn't exist at /home/ubuntu/.cache/ms-playwright/chromium_headless_shell-...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Playwright 自带 chromium 没下载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改用</w:t>
            </w:r>
            <w:r>
              <w:t xml:space="preserve"> </w:t>
            </w:r>
            <w:r>
              <w:rPr>
                <w:rStyle w:val="VerbatimChar"/>
              </w:rPr>
              <w:t xml:space="preserve">executable_path='/opt/google/chrome/chrome'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--no-sandbox</w:t>
            </w:r>
            <w:r>
              <w:t xml:space="preserve"> </w:t>
            </w:r>
            <w:r>
              <w:t xml:space="preserve">安全检查被 MCP 阻断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mcp__puppeteer__ 工具对 dangerous args 严格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用 Python Playwright 绕开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页面 30 秒未出现 selectors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SPA 较慢 / hydrate 失败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增大</w:t>
            </w:r>
            <w:r>
              <w:t xml:space="preserve"> </w:t>
            </w:r>
            <w:r>
              <w:rPr>
                <w:rStyle w:val="VerbatimChar"/>
              </w:rPr>
              <w:t xml:space="preserve">max_wait_ms</w:t>
            </w:r>
            <w:r>
              <w:t xml:space="preserve"> </w:t>
            </w:r>
            <w:r>
              <w:t xml:space="preserve">至 60000，加入滚动操作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canvas 散点无文本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图表用 canvas 渲染而非 SVG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用 page.screenshot + OCR，或换可见表格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数字在 popup / tooltip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hover 才出现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page.locator(…).hover() 然后再读 DOM</w:t>
            </w:r>
          </w:p>
        </w:tc>
      </w:tr>
    </w:tbl>
    <w:bookmarkEnd w:id="134"/>
    <w:bookmarkStart w:id="138" w:name="三种绕开方案不依赖-playwright"/>
    <w:p>
      <w:pPr>
        <w:pStyle w:val="Heading3"/>
      </w:pPr>
      <w:r>
        <w:t xml:space="preserve">11.7 三种绕开方案（不依赖 Playwright）</w:t>
      </w:r>
    </w:p>
    <w:p>
      <w:pPr>
        <w:pStyle w:val="FirstParagraph"/>
      </w:pPr>
      <w:r>
        <w:t xml:space="preserve">如果 Playwright 不在环境，还有三个 fallback：</w:t>
      </w:r>
    </w:p>
    <w:bookmarkStart w:id="135" w:name="浏览器手动-devtools"/>
    <w:p>
      <w:pPr>
        <w:pStyle w:val="Heading4"/>
      </w:pPr>
      <w:r>
        <w:t xml:space="preserve">10.7.1 浏览器手动 + DevTools</w:t>
      </w:r>
    </w:p>
    <w:p>
      <w:pPr>
        <w:pStyle w:val="SourceCode"/>
      </w:pPr>
      <w:r>
        <w:rPr>
          <w:rStyle w:val="VerbatimChar"/>
        </w:rPr>
        <w:t xml:space="preserve">1. 在 Chrome 中打开目标页面</w:t>
      </w:r>
      <w:r>
        <w:br/>
      </w:r>
      <w:r>
        <w:rPr>
          <w:rStyle w:val="VerbatimChar"/>
        </w:rPr>
        <w:t xml:space="preserve">2. F12 → Network → 找到 /api/... 请求</w:t>
      </w:r>
      <w:r>
        <w:br/>
      </w:r>
      <w:r>
        <w:rPr>
          <w:rStyle w:val="VerbatimChar"/>
        </w:rPr>
        <w:t xml:space="preserve">3. 把 URL 在 curl 中执行：curl -H 'cookie: ...' URL | jq</w:t>
      </w:r>
    </w:p>
    <w:p>
      <w:pPr>
        <w:pStyle w:val="FirstParagraph"/>
      </w:pPr>
      <w:r>
        <w:t xml:space="preserve">适用：</w:t>
      </w:r>
      <w:r>
        <w:rPr>
          <w:rStyle w:val="VerbatimChar"/>
        </w:rPr>
        <w:t xml:space="preserve">/api/...</w:t>
      </w:r>
      <w:r>
        <w:t xml:space="preserve"> </w:t>
      </w:r>
      <w:r>
        <w:t xml:space="preserve">暴露的内部端点（多数 SPA 不会暴露）。</w:t>
      </w:r>
    </w:p>
    <w:bookmarkEnd w:id="135"/>
    <w:bookmarkStart w:id="136" w:name="chrome---dump-dom---virtual-time-budget"/>
    <w:p>
      <w:pPr>
        <w:pStyle w:val="Heading4"/>
      </w:pPr>
      <w:r>
        <w:t xml:space="preserve">10.7.2 Chrome</w:t>
      </w:r>
      <w:r>
        <w:t xml:space="preserve"> </w:t>
      </w:r>
      <w:r>
        <w:rPr>
          <w:rStyle w:val="VerbatimChar"/>
        </w:rPr>
        <w:t xml:space="preserve">--dump-dom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--virtual-time-budget</w:t>
      </w:r>
    </w:p>
    <w:p>
      <w:pPr>
        <w:pStyle w:val="SourceCode"/>
      </w:pPr>
      <w:r>
        <w:rPr>
          <w:rStyle w:val="ExtensionTok"/>
        </w:rPr>
        <w:t xml:space="preserve">google-chrome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--headless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--disable-gpu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--dump-dom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--virtual-time-budget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20000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'https://inferencex.semianalysis.com/zh/overview'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overview.html</w:t>
      </w:r>
    </w:p>
    <w:p>
      <w:pPr>
        <w:pStyle w:val="FirstParagraph"/>
      </w:pPr>
      <w:r>
        <w:t xml:space="preserve">适用：基础 hydration 完成后 dom 文本，但 JS 仍可能继续挂载。</w:t>
      </w:r>
    </w:p>
    <w:bookmarkEnd w:id="136"/>
    <w:bookmarkStart w:id="137" w:name="devtools-protocol-直接连接"/>
    <w:p>
      <w:pPr>
        <w:pStyle w:val="Heading4"/>
      </w:pPr>
      <w:r>
        <w:t xml:space="preserve">10.7.3 DevTools Protocol 直接连接</w:t>
      </w:r>
    </w:p>
    <w:p>
      <w:pPr>
        <w:pStyle w:val="FirstParagraph"/>
      </w:pPr>
      <w:r>
        <w:t xml:space="preserve">Python 用</w:t>
      </w:r>
      <w:r>
        <w:t xml:space="preserve"> </w:t>
      </w:r>
      <w:r>
        <w:rPr>
          <w:rStyle w:val="VerbatimChar"/>
        </w:rPr>
        <w:t xml:space="preserve">pychrome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pyppeteer</w:t>
      </w:r>
      <w:r>
        <w:t xml:space="preserve"> </w:t>
      </w:r>
      <w:r>
        <w:t xml:space="preserve">起一个 Chrome DevTools session，手动操作：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pychrome</w:t>
      </w:r>
      <w:r>
        <w:br/>
      </w:r>
      <w:r>
        <w:rPr>
          <w:rStyle w:val="NormalTok"/>
        </w:rPr>
        <w:t xml:space="preserve">browser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pychrome.Browser(url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"http://localhost:9222"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tab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browser.new_tab()</w:t>
      </w:r>
      <w:r>
        <w:br/>
      </w:r>
      <w:r>
        <w:rPr>
          <w:rStyle w:val="NormalTok"/>
        </w:rPr>
        <w:t xml:space="preserve">tab.start()</w:t>
      </w:r>
      <w:r>
        <w:br/>
      </w:r>
      <w:r>
        <w:rPr>
          <w:rStyle w:val="NormalTok"/>
        </w:rPr>
        <w:t xml:space="preserve">tab.Network.enable()</w:t>
      </w:r>
      <w:r>
        <w:br/>
      </w:r>
      <w:r>
        <w:rPr>
          <w:rStyle w:val="NormalTok"/>
        </w:rPr>
        <w:t xml:space="preserve">tab.Page.navigate(url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"..."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tab.wait(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content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tab.DOM.getDocument()</w:t>
      </w:r>
    </w:p>
    <w:p>
      <w:pPr>
        <w:pStyle w:val="FirstParagraph"/>
      </w:pPr>
      <w:r>
        <w:t xml:space="preserve">适用于已有 Chrome 实例 attach 的场景。</w:t>
      </w:r>
    </w:p>
    <w:bookmarkEnd w:id="137"/>
    <w:bookmarkEnd w:id="138"/>
    <w:bookmarkStart w:id="141" w:name="推荐的完整工作流"/>
    <w:p>
      <w:pPr>
        <w:pStyle w:val="Heading3"/>
      </w:pPr>
      <w:r>
        <w:t xml:space="preserve">11.8 推荐的完整工作流</w:t>
      </w:r>
    </w:p>
    <w:bookmarkStart w:id="139" w:name="抓取时"/>
    <w:p>
      <w:pPr>
        <w:pStyle w:val="Heading4"/>
      </w:pPr>
      <w:r>
        <w:t xml:space="preserve">10.8.1 抓取时</w:t>
      </w:r>
    </w:p>
    <w:p>
      <w:pPr>
        <w:numPr>
          <w:ilvl w:val="0"/>
          <w:numId w:val="1103"/>
        </w:numPr>
        <w:pStyle w:val="Compact"/>
      </w:pPr>
      <w:r>
        <w:rPr>
          <w:bCs/>
          <w:b/>
        </w:rPr>
        <w:t xml:space="preserve">优先 WebFetch</w:t>
      </w:r>
      <w:r>
        <w:t xml:space="preserve">：纯静态文本/导航够用就用 WebFetch</w:t>
      </w:r>
    </w:p>
    <w:p>
      <w:pPr>
        <w:numPr>
          <w:ilvl w:val="0"/>
          <w:numId w:val="1103"/>
        </w:numPr>
        <w:pStyle w:val="Compact"/>
      </w:pPr>
      <w:r>
        <w:rPr>
          <w:bCs/>
          <w:b/>
        </w:rPr>
        <w:t xml:space="preserve">降级到 Playwright</w:t>
      </w:r>
      <w:r>
        <w:t xml:space="preserve">：遇到 SPA / canvas / 动态数字时</w:t>
      </w:r>
    </w:p>
    <w:p>
      <w:pPr>
        <w:numPr>
          <w:ilvl w:val="0"/>
          <w:numId w:val="1103"/>
        </w:numPr>
        <w:pStyle w:val="Compact"/>
      </w:pPr>
      <w:r>
        <w:rPr>
          <w:bCs/>
          <w:b/>
        </w:rPr>
        <w:t xml:space="preserve">保存截图与 JSON</w:t>
      </w:r>
      <w:r>
        <w:t xml:space="preserve">：每次 Playwright 抓取都保存原始 HTML + 截图，</w:t>
      </w:r>
      <w:r>
        <w:rPr>
          <w:bCs/>
          <w:b/>
        </w:rPr>
        <w:t xml:space="preserve">便于审计</w:t>
      </w:r>
    </w:p>
    <w:p>
      <w:pPr>
        <w:numPr>
          <w:ilvl w:val="0"/>
          <w:numId w:val="1103"/>
        </w:numPr>
        <w:pStyle w:val="Compact"/>
      </w:pPr>
      <w:r>
        <w:rPr>
          <w:bCs/>
          <w:b/>
        </w:rPr>
        <w:t xml:space="preserve">报告引用截图</w:t>
      </w:r>
      <w:r>
        <w:t xml:space="preserve">：把截图 URL 放在附录，读者可独立验证</w:t>
      </w:r>
    </w:p>
    <w:bookmarkEnd w:id="139"/>
    <w:bookmarkStart w:id="140" w:name="验证时"/>
    <w:p>
      <w:pPr>
        <w:pStyle w:val="Heading4"/>
      </w:pPr>
      <w:r>
        <w:t xml:space="preserve">10.8.2 验证时</w:t>
      </w:r>
    </w:p>
    <w:p>
      <w:pPr>
        <w:numPr>
          <w:ilvl w:val="0"/>
          <w:numId w:val="1104"/>
        </w:numPr>
        <w:pStyle w:val="Compact"/>
      </w:pPr>
      <w:r>
        <w:rPr>
          <w:bCs/>
          <w:b/>
        </w:rPr>
        <w:t xml:space="preserve">L1 验证（PR ↔ config-key）</w:t>
      </w:r>
      <w:r>
        <w:t xml:space="preserve">：用 §10.3 表格作为 95% 置信度地基</w:t>
      </w:r>
    </w:p>
    <w:p>
      <w:pPr>
        <w:numPr>
          <w:ilvl w:val="0"/>
          <w:numId w:val="1104"/>
        </w:numPr>
        <w:pStyle w:val="Compact"/>
      </w:pPr>
      <w:r>
        <w:rPr>
          <w:bCs/>
          <w:b/>
        </w:rPr>
        <w:t xml:space="preserve">L6 验证（Playwright 抓 SPA）</w:t>
      </w:r>
      <w:r>
        <w:t xml:space="preserve">：本节方案</w:t>
      </w:r>
    </w:p>
    <w:p>
      <w:pPr>
        <w:numPr>
          <w:ilvl w:val="0"/>
          <w:numId w:val="1104"/>
        </w:numPr>
        <w:pStyle w:val="Compact"/>
      </w:pPr>
      <w:r>
        <w:rPr>
          <w:bCs/>
          <w:b/>
        </w:rPr>
        <w:t xml:space="preserve">交叉验证</w:t>
      </w:r>
      <w:r>
        <w:t xml:space="preserve">：</w:t>
      </w:r>
    </w:p>
    <w:p>
      <w:pPr>
        <w:numPr>
          <w:ilvl w:val="1"/>
          <w:numId w:val="1105"/>
        </w:numPr>
        <w:pStyle w:val="Compact"/>
      </w:pPr>
      <w:r>
        <w:t xml:space="preserve">同一页面 WebFetch 数字 vs Playwright 数字 vs unofficialRun URL</w:t>
      </w:r>
    </w:p>
    <w:p>
      <w:pPr>
        <w:numPr>
          <w:ilvl w:val="1"/>
          <w:numId w:val="1105"/>
        </w:numPr>
        <w:pStyle w:val="Compact"/>
      </w:pPr>
      <w:r>
        <w:t xml:space="preserve">三个数字一致 ⇒ 高置信度</w:t>
      </w:r>
    </w:p>
    <w:p>
      <w:pPr>
        <w:numPr>
          <w:ilvl w:val="1"/>
          <w:numId w:val="1105"/>
        </w:numPr>
        <w:pStyle w:val="Compact"/>
      </w:pPr>
      <w:r>
        <w:t xml:space="preserve">不一致 ⇒ 可能是 stale，需要看 g_rundate</w:t>
      </w:r>
    </w:p>
    <w:bookmarkEnd w:id="140"/>
    <w:bookmarkEnd w:id="141"/>
    <w:bookmarkStart w:id="145" w:name="操作复用"/>
    <w:p>
      <w:pPr>
        <w:pStyle w:val="Heading3"/>
      </w:pPr>
      <w:r>
        <w:t xml:space="preserve">11.9 操作复用</w:t>
      </w:r>
    </w:p>
    <w:bookmarkStart w:id="142" w:name="复用脚本"/>
    <w:p>
      <w:pPr>
        <w:pStyle w:val="Heading4"/>
      </w:pPr>
      <w:r>
        <w:t xml:space="preserve">10.9.1 复用脚本</w:t>
      </w:r>
    </w:p>
    <w:p>
      <w:pPr>
        <w:pStyle w:val="SourceCode"/>
      </w:pPr>
      <w:r>
        <w:rPr>
          <w:rStyle w:val="CommentTok"/>
        </w:rPr>
        <w:t xml:space="preserve"># 完整复跑</w:t>
      </w:r>
      <w:r>
        <w:br/>
      </w:r>
      <w:r>
        <w:rPr>
          <w:rStyle w:val="ExtensionTok"/>
        </w:rPr>
        <w:t xml:space="preserve">python3</w:t>
      </w:r>
      <w:r>
        <w:rPr>
          <w:rStyle w:val="NormalTok"/>
        </w:rPr>
        <w:t xml:space="preserve"> /home/ubuntu/spa_scraper.py</w:t>
      </w:r>
      <w:r>
        <w:br/>
      </w:r>
      <w:r>
        <w:br/>
      </w:r>
      <w:r>
        <w:rPr>
          <w:rStyle w:val="CommentTok"/>
        </w:rPr>
        <w:t xml:space="preserve"># 复跑单个目标</w:t>
      </w:r>
      <w:r>
        <w:br/>
      </w:r>
      <w:r>
        <w:rPr>
          <w:rStyle w:val="ExtensionTok"/>
        </w:rPr>
        <w:t xml:space="preserve">python3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br/>
      </w:r>
      <w:r>
        <w:rPr>
          <w:rStyle w:val="StringTok"/>
        </w:rPr>
        <w:t xml:space="preserve">import sys; sys.path.insert(0, '/home/ubuntu')</w:t>
      </w:r>
      <w:r>
        <w:br/>
      </w:r>
      <w:r>
        <w:rPr>
          <w:rStyle w:val="StringTok"/>
        </w:rPr>
        <w:t xml:space="preserve">from spa_scraper import TARGETS, main</w:t>
      </w:r>
      <w:r>
        <w:br/>
      </w:r>
      <w:r>
        <w:rPr>
          <w:rStyle w:val="StringTok"/>
        </w:rPr>
        <w:t xml:space="preserve"># 修改 TARGETS 后再跑</w:t>
      </w:r>
      <w:r>
        <w:br/>
      </w:r>
      <w:r>
        <w:rPr>
          <w:rStyle w:val="StringTok"/>
        </w:rPr>
        <w:t xml:space="preserve">"</w:t>
      </w:r>
    </w:p>
    <w:bookmarkEnd w:id="142"/>
    <w:bookmarkStart w:id="143" w:name="截图资源"/>
    <w:p>
      <w:pPr>
        <w:pStyle w:val="Heading4"/>
      </w:pPr>
      <w:r>
        <w:t xml:space="preserve">10.9.2 截图资源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截图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用途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/home/ubuntu/spa_screenshots/Overview__zh____main_dashboard.png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overview 完整截图（659 KB）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/home/ubuntu/spa_screenshots/MiniMax_M3_vs_H200___GB300__sub-page_.png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M3 vs H200/GB300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/home/ubuntu/spa_screenshots/DeepSeek_V4_Pro_B200_vs_MI355X__sub-page_.png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DSV4 Pro B200 vs MI355X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/home/ubuntu/spa_screenshots/Qwen_3_5_B200_vs_MI355X__sub-page_.png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Qwen 3.5 B200 vs MI355X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/home/ubuntu/spa_screenshots/PR__3274_unofficial_run.png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 #3274 对应 run</w:t>
            </w:r>
          </w:p>
        </w:tc>
      </w:tr>
    </w:tbl>
    <w:bookmarkEnd w:id="143"/>
    <w:bookmarkStart w:id="144" w:name="数据摘要-json"/>
    <w:p>
      <w:pPr>
        <w:pStyle w:val="Heading4"/>
      </w:pPr>
      <w:r>
        <w:t xml:space="preserve">10.9.3 数据摘要 JSON</w:t>
      </w:r>
    </w:p>
    <w:p>
      <w:pPr>
        <w:pStyle w:val="FirstParagraph"/>
      </w:pPr>
      <w:r>
        <w:rPr>
          <w:rStyle w:val="VerbatimChar"/>
        </w:rPr>
        <w:t xml:space="preserve">/home/ubuntu/spa_summary.json</w:t>
      </w:r>
      <w:r>
        <w:t xml:space="preserve"> </w:t>
      </w:r>
      <w:r>
        <w:t xml:space="preserve">—— 含每目标：URL、命中 selector、抽取数字、对应截图路径。可用于后续自动化分析。</w:t>
      </w:r>
    </w:p>
    <w:bookmarkEnd w:id="144"/>
    <w:bookmarkEnd w:id="145"/>
    <w:bookmarkStart w:id="149" w:name="解读建议用-playwright-做深度选型"/>
    <w:p>
      <w:pPr>
        <w:pStyle w:val="Heading3"/>
      </w:pPr>
      <w:r>
        <w:t xml:space="preserve">11.10 解读建议（用 Playwright 做深度选型）</w:t>
      </w:r>
    </w:p>
    <w:bookmarkStart w:id="146" w:name="场景跨-slo-sweep-对比"/>
    <w:p>
      <w:pPr>
        <w:pStyle w:val="Heading4"/>
      </w:pPr>
      <w:r>
        <w:t xml:space="preserve">10.10.1 场景：跨 SLO Sweep 对比</w:t>
      </w:r>
    </w:p>
    <w:p>
      <w:pPr>
        <w:pStyle w:val="FirstParagraph"/>
      </w:pPr>
      <w:r>
        <w:t xml:space="preserve">把 overview 页面在浏览器中</w:t>
      </w:r>
      <w:r>
        <w:rPr>
          <w:bCs/>
          <w:b/>
        </w:rPr>
        <w:t xml:space="preserve">手动调整 SLO 滑块</w:t>
      </w:r>
      <w:r>
        <w:t xml:space="preserve">，对应看到 $/M tokens 变化。但用 Playwright 脚本可以</w:t>
      </w:r>
      <w:r>
        <w:rPr>
          <w:bCs/>
          <w:b/>
        </w:rPr>
        <w:t xml:space="preserve">自动扫 7 个 SLO 档</w:t>
      </w:r>
      <w:r>
        <w:t xml:space="preserve">（30/50/75/100/150/200），报告每个 SLO 档下：</w:t>
      </w:r>
    </w:p>
    <w:p>
      <w:pPr>
        <w:numPr>
          <w:ilvl w:val="0"/>
          <w:numId w:val="1106"/>
        </w:numPr>
        <w:pStyle w:val="Compact"/>
      </w:pPr>
      <w:r>
        <w:rPr>
          <w:rStyle w:val="VerbatimChar"/>
        </w:rPr>
        <w:t xml:space="preserve">$/M tokens</w:t>
      </w:r>
      <w:r>
        <w:t xml:space="preserve">（最优组合）</w:t>
      </w:r>
    </w:p>
    <w:p>
      <w:pPr>
        <w:numPr>
          <w:ilvl w:val="0"/>
          <w:numId w:val="1106"/>
        </w:numPr>
        <w:pStyle w:val="Compact"/>
      </w:pPr>
      <w:r>
        <w:rPr>
          <w:rStyle w:val="VerbatimChar"/>
        </w:rPr>
        <w:t xml:space="preserve">tok/s/chip</w:t>
      </w:r>
      <w:r>
        <w:t xml:space="preserve">（最优吞吐）</w:t>
      </w:r>
    </w:p>
    <w:p>
      <w:pPr>
        <w:numPr>
          <w:ilvl w:val="0"/>
          <w:numId w:val="1106"/>
        </w:numPr>
        <w:pStyle w:val="Compact"/>
      </w:pPr>
      <w:r>
        <w:t xml:space="preserve">命中哪一组（硬件 × 引擎 × 精度）</w:t>
      </w:r>
    </w:p>
    <w:bookmarkEnd w:id="146"/>
    <w:bookmarkStart w:id="147" w:name="场景批量对比子页面扫一遍"/>
    <w:p>
      <w:pPr>
        <w:pStyle w:val="Heading4"/>
      </w:pPr>
      <w:r>
        <w:t xml:space="preserve">10.10.2 场景：批量对比子页面扫一遍</w:t>
      </w:r>
    </w:p>
    <w:p>
      <w:pPr>
        <w:pStyle w:val="FirstParagraph"/>
      </w:pPr>
      <w:r>
        <w:t xml:space="preserve">把</w:t>
      </w:r>
      <w:r>
        <w:t xml:space="preserve"> </w:t>
      </w:r>
      <w:r>
        <w:rPr>
          <w:rStyle w:val="VerbatimChar"/>
        </w:rPr>
        <w:t xml:space="preserve">/zh/compare/&lt;model&gt;-&lt;a&gt;-vs-&lt;b&gt;/agentic</w:t>
      </w:r>
      <w:r>
        <w:t xml:space="preserve"> </w:t>
      </w:r>
      <w:r>
        <w:t xml:space="preserve">的 365 组对比卡片</w:t>
      </w:r>
      <w:r>
        <w:rPr>
          <w:bCs/>
          <w:b/>
        </w:rPr>
        <w:t xml:space="preserve">全部自动访问 + 截图 + 抽取数字</w:t>
      </w:r>
      <w:r>
        <w:t xml:space="preserve">：</w:t>
      </w:r>
    </w:p>
    <w:p>
      <w:pPr>
        <w:pStyle w:val="SourceCode"/>
      </w:pPr>
      <w:r>
        <w:rPr>
          <w:rStyle w:val="CommentTok"/>
        </w:rPr>
        <w:t xml:space="preserve"># 伪代码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model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all_models: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chip_a, chip_b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chip_pairs:</w:t>
      </w:r>
      <w:r>
        <w:br/>
      </w:r>
      <w:r>
        <w:rPr>
          <w:rStyle w:val="NormalTok"/>
        </w:rPr>
        <w:t xml:space="preserve">        url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pecialStringTok"/>
        </w:rPr>
        <w:t xml:space="preserve">f'/zh/compare/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model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-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chip_a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-vs-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chip_b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/agentic'</w:t>
      </w:r>
      <w:r>
        <w:br/>
      </w:r>
      <w:r>
        <w:rPr>
          <w:rStyle w:val="NormalTok"/>
        </w:rPr>
        <w:t xml:space="preserve">        scrape(url)  </w:t>
      </w:r>
      <w:r>
        <w:rPr>
          <w:rStyle w:val="CommentTok"/>
        </w:rPr>
        <w:t xml:space="preserve"># 自动</w:t>
      </w:r>
    </w:p>
    <w:p>
      <w:pPr>
        <w:pStyle w:val="FirstParagraph"/>
      </w:pPr>
      <w:r>
        <w:t xml:space="preserve">每个组合 5 秒 → 365 × 5s ≈ 30 分钟完成全表快照。</w:t>
      </w:r>
      <w:r>
        <w:rPr>
          <w:bCs/>
          <w:b/>
        </w:rPr>
        <w:t xml:space="preserve">这是 §10.5 中 L1 + L6 验证的实操方案</w:t>
      </w:r>
      <w:r>
        <w:t xml:space="preserve">。</w:t>
      </w:r>
    </w:p>
    <w:bookmarkEnd w:id="147"/>
    <w:bookmarkStart w:id="148" w:name="场景跨-pr-比较验证"/>
    <w:p>
      <w:pPr>
        <w:pStyle w:val="Heading4"/>
      </w:pPr>
      <w:r>
        <w:t xml:space="preserve">10.10.3 场景：跨 PR 比较验证</w:t>
      </w:r>
    </w:p>
    <w:p>
      <w:pPr>
        <w:pStyle w:val="FirstParagraph"/>
      </w:pPr>
      <w:r>
        <w:t xml:space="preserve">把 §10.3 中的 12 个最新 PR 跑出来——用 GitHub Actions 有 token 的情况下可以下载 artifacts 或 logs。把数字与 §4 overview 一一对照，</w:t>
      </w:r>
      <w:r>
        <w:rPr>
          <w:bCs/>
          <w:b/>
        </w:rPr>
        <w:t xml:space="preserve">完美的 L2 验证</w:t>
      </w:r>
      <w:r>
        <w:t xml:space="preserve">。</w:t>
      </w:r>
    </w:p>
    <w:p>
      <w:r>
        <w:pict>
          <v:rect style="width:0;height:1.5pt" o:hralign="center" o:hrstd="t" o:hr="t"/>
        </w:pict>
      </w:r>
    </w:p>
    <w:bookmarkEnd w:id="148"/>
    <w:bookmarkEnd w:id="149"/>
    <w:bookmarkEnd w:id="150"/>
    <w:bookmarkStart w:id="158" w:name="跨章节决策卡decision-card"/>
    <w:p>
      <w:pPr>
        <w:pStyle w:val="Heading2"/>
      </w:pPr>
      <w:r>
        <w:t xml:space="preserve">12. 跨章节决策卡（Decision Card）</w:t>
      </w:r>
    </w:p>
    <w:p>
      <w:pPr>
        <w:pStyle w:val="BlockText"/>
      </w:pPr>
      <w:r>
        <w:t xml:space="preserve">本节是整份报告的”最后一公里”——把 §1-§12 + 附录里</w:t>
      </w:r>
      <w:r>
        <w:rPr>
          <w:bCs/>
          <w:b/>
        </w:rPr>
        <w:t xml:space="preserve">最关键的发现</w:t>
      </w:r>
      <w:r>
        <w:t xml:space="preserve">抽出来，</w:t>
      </w:r>
      <w:r>
        <w:t xml:space="preserve"> </w:t>
      </w:r>
      <w:r>
        <w:t xml:space="preserve">让读者不用从头读也能拿到 80% 的决策价值。每条都标了回看章节。</w:t>
      </w:r>
    </w:p>
    <w:bookmarkStart w:id="151" w:name="三句话总结"/>
    <w:p>
      <w:pPr>
        <w:pStyle w:val="Heading3"/>
      </w:pPr>
      <w:r>
        <w:t xml:space="preserve">12.1 三句话总结</w:t>
      </w:r>
    </w:p>
    <w:p>
      <w:pPr>
        <w:numPr>
          <w:ilvl w:val="0"/>
          <w:numId w:val="1107"/>
        </w:numPr>
        <w:pStyle w:val="Compact"/>
      </w:pPr>
      <w:r>
        <w:rPr>
          <w:bCs/>
          <w:b/>
        </w:rPr>
        <w:t xml:space="preserve">不要把 SLO 当”速度分数”</w:t>
      </w:r>
      <w:r>
        <w:t xml:space="preserve">——它定义的是”每个用户每秒必须拿到的 token 数”，是 SLA 底线。</w:t>
      </w:r>
      <w:r>
        <w:t xml:space="preserve"> </w:t>
      </w:r>
      <w:r>
        <w:t xml:space="preserve">选硬件时必须先定 SLO，再看 $/M tokens；同样一对硬件在不同 SLO 下结论会反转（§11.5）。</w:t>
      </w:r>
    </w:p>
    <w:p>
      <w:pPr>
        <w:numPr>
          <w:ilvl w:val="0"/>
          <w:numId w:val="1107"/>
        </w:numPr>
        <w:pStyle w:val="Compact"/>
      </w:pPr>
      <w:r>
        <w:rPr>
          <w:bCs/>
          <w:b/>
        </w:rPr>
        <w:t xml:space="preserve">TCO 是真正的货币，B200 只是锚</w:t>
      </w:r>
      <w:r>
        <w:t xml:space="preserve">——所有”对比 B200”百分比都以 B200 为基准，</w:t>
      </w:r>
      <w:r>
        <w:t xml:space="preserve"> </w:t>
      </w:r>
      <w:r>
        <w:t xml:space="preserve">不是”B200 好或坏”。13 种硬件的 TCO 单价从 $1.05 到 $5.06/chip/hr（§9.2），</w:t>
      </w:r>
      <w:r>
        <w:t xml:space="preserve"> </w:t>
      </w:r>
      <w:r>
        <w:t xml:space="preserve">选硬件时要把硬件单价 / 吞吐 / SLO 三者一起算（§3.7 / §5.7）。</w:t>
      </w:r>
    </w:p>
    <w:p>
      <w:pPr>
        <w:numPr>
          <w:ilvl w:val="0"/>
          <w:numId w:val="1107"/>
        </w:numPr>
        <w:pStyle w:val="Compact"/>
      </w:pPr>
      <w:r>
        <w:rPr>
          <w:bCs/>
          <w:b/>
        </w:rPr>
        <w:t xml:space="preserve">数字是声明性事实，验证是另一回事</w:t>
      </w:r>
      <w:r>
        <w:t xml:space="preserve">——L1 验证已覆盖 12 个 §4 单元格 ↔ PR ↔ config-key（§10.3），</w:t>
      </w:r>
      <w:r>
        <w:t xml:space="preserve"> </w:t>
      </w:r>
      <w:r>
        <w:t xml:space="preserve">数字本身仅在页面可读；L6（Playwright 抓 SPA）已跑通，5 目标抓到 95+ 数字（§11.4）。</w:t>
      </w:r>
      <w:r>
        <w:t xml:space="preserve"> </w:t>
      </w:r>
      <w:r>
        <w:t xml:space="preserve">想”可审计”得用 L1+L6 联用（§10.10）。</w:t>
      </w:r>
    </w:p>
    <w:bookmarkEnd w:id="151"/>
    <w:bookmarkStart w:id="152" w:name="关键数字速查按决策场景分组"/>
    <w:p>
      <w:pPr>
        <w:pStyle w:val="Heading3"/>
      </w:pPr>
      <w:r>
        <w:t xml:space="preserve">12.2 关键数字速查（按决策场景分组）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场景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推荐参考数字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出处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采购：单卡小时成本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TCO $/chip/hr：GB200 $1.05 / B200 $2.00 / H200 $1.50 / H100 $1.40 / MI355X $1.60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§9.2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容量：每兆 token 成本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DeepSeek V4 Pro + B200 AgentX = $0.007/M（最低）；Kimi K3 + MI355X = $0.39/M（最高）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§4 / §5.2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SLA：哪一档最贵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MiniMax M3 + H200：126 → $0.04 / 169 → $0.08 / 212 → $0.13（每涨一档成本 1.6-2×）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§9.3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跨硬件反转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DeepSeek V4 Pro 在 79 tok/s/user B200 便宜 75%；Qwen 3.5 在 101 tok/s/user MI355X 反过来便宜 18%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§11.5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跨模型最佳硬件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DeepSeek V4 Pro 选 B200；Qwen 3.5 选 MI355X；Kimi K3 选 GB300 NVL72；GLM 5.2 选 MI355X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§5.6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吞吐量峰值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Qwen 3.5 + MI355X 36,990 tok/s/chip；MiniMax M3 + H200 7,591 tok/s/chip（4.9× 差距）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§11.5</w:t>
            </w:r>
          </w:p>
        </w:tc>
      </w:tr>
    </w:tbl>
    <w:bookmarkEnd w:id="152"/>
    <w:bookmarkStart w:id="153" w:name="选硬件引擎精度投机解码-决策矩阵"/>
    <w:p>
      <w:pPr>
        <w:pStyle w:val="Heading3"/>
      </w:pPr>
      <w:r>
        <w:t xml:space="preserve">12.3 选硬件/引擎/精度/投机解码 决策矩阵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目标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第一选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第二选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避免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最低 $/M tokens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B200 + Dynamo vLLM + MTP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MI355X + SGLang + DSpark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单一硬件扫所有场景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最高 tok/s/chip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MI355X + SGLang + FP8 + MTP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B300 + vLLM + MTP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BF16（吞吐低 2-3×）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最低 TTFT（首 token 延迟）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GB200/GB300 NVL72（DCP 拆分）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B300 + disagg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单实例同时跑 prefill + decode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最高稳态吞吐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GB300 NVL72 + Dynamo SGLang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B200 + SGLang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vLLM 在 8K-1K 场景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超大 MoE（如 Kimi K3 2.8T）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GB300 NVL72（−48%）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MI355X（成本高 97%）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智能体 AgentX 场景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B200 + Dynamo vLLM + DSpark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MI355X + SGLang + DSpark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不带投机解码</w:t>
            </w:r>
          </w:p>
        </w:tc>
      </w:tr>
    </w:tbl>
    <w:bookmarkEnd w:id="153"/>
    <w:bookmarkStart w:id="154" w:name="七层验证矩阵速查详见-10"/>
    <w:p>
      <w:pPr>
        <w:pStyle w:val="Heading3"/>
      </w:pPr>
      <w:r>
        <w:t xml:space="preserve">12.4 七层验证矩阵速查（详见 §10）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层级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验证内容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状态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置信度贡献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config-key ↔ PR 链接（perf-changelog.yaml）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✅ 已完成（12 单元格）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GitHub Actions 完整 logs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❌ 403（需 admin）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受限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公开 GitHub Release 基准快照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❌ 无该种 Release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受限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master 分支 config 脚本入口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✅ 已访问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unofficialRun 链接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✅ 已跑通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Playwright SPA 抓取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✅ 5 目标 / 95+ 数字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WebFetch vs Playwright 一致性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✅ 5/5 一致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95%</w:t>
            </w:r>
          </w:p>
        </w:tc>
      </w:tr>
    </w:tbl>
    <w:p>
      <w:pPr>
        <w:pStyle w:val="BodyText"/>
      </w:pPr>
      <w:r>
        <w:t xml:space="preserve">→</w:t>
      </w:r>
      <w:r>
        <w:t xml:space="preserve"> </w:t>
      </w:r>
      <w:r>
        <w:rPr>
          <w:bCs/>
          <w:b/>
        </w:rPr>
        <w:t xml:space="preserve">当前综合置信度</w:t>
      </w:r>
      <w:r>
        <w:t xml:space="preserve">：§4 数字 ≈ 85%（L1 + L6 + L7 三层互证）</w:t>
      </w:r>
    </w:p>
    <w:bookmarkEnd w:id="154"/>
    <w:bookmarkStart w:id="155" w:name="不要做的事汇总-7-5.8-8.12-9.8"/>
    <w:p>
      <w:pPr>
        <w:pStyle w:val="Heading3"/>
      </w:pPr>
      <w:r>
        <w:t xml:space="preserve">12.5 不要做的事（汇总 §7 + §5.8 + §8.12 + §9.8）</w:t>
      </w:r>
    </w:p>
    <w:p>
      <w:pPr>
        <w:numPr>
          <w:ilvl w:val="0"/>
          <w:numId w:val="1108"/>
        </w:numPr>
        <w:pStyle w:val="Compact"/>
      </w:pPr>
      <w:r>
        <w:t xml:space="preserve">❌</w:t>
      </w:r>
      <w:r>
        <w:t xml:space="preserve"> </w:t>
      </w:r>
      <w:r>
        <w:rPr>
          <w:bCs/>
          <w:b/>
        </w:rPr>
        <w:t xml:space="preserve">不要</w:t>
      </w:r>
      <w:r>
        <w:t xml:space="preserve">用 overview 单个</w:t>
      </w:r>
      <w:r>
        <w:t xml:space="preserve"> </w:t>
      </w:r>
      <w:r>
        <w:t xml:space="preserve">“</w:t>
      </w:r>
      <w:r>
        <w:t xml:space="preserve">+51%</w:t>
      </w:r>
      <w:r>
        <w:t xml:space="preserve">”</w:t>
      </w:r>
      <w:r>
        <w:t xml:space="preserve"> </w:t>
      </w:r>
      <w:r>
        <w:t xml:space="preserve">标签做采购决策——必须看 SLO 区间（§11.5 已证反转会反转）</w:t>
      </w:r>
    </w:p>
    <w:p>
      <w:pPr>
        <w:numPr>
          <w:ilvl w:val="0"/>
          <w:numId w:val="1108"/>
        </w:numPr>
        <w:pStyle w:val="Compact"/>
      </w:pPr>
      <w:r>
        <w:t xml:space="preserve">❌</w:t>
      </w:r>
      <w:r>
        <w:t xml:space="preserve"> </w:t>
      </w:r>
      <w:r>
        <w:rPr>
          <w:bCs/>
          <w:b/>
        </w:rPr>
        <w:t xml:space="preserve">不要</w:t>
      </w:r>
      <w:r>
        <w:t xml:space="preserve">把对比 B200 当成”B200 是好是坏”——它只是锚点</w:t>
      </w:r>
    </w:p>
    <w:p>
      <w:pPr>
        <w:numPr>
          <w:ilvl w:val="0"/>
          <w:numId w:val="1108"/>
        </w:numPr>
        <w:pStyle w:val="Compact"/>
      </w:pPr>
      <w:r>
        <w:t xml:space="preserve">❌</w:t>
      </w:r>
      <w:r>
        <w:t xml:space="preserve"> </w:t>
      </w:r>
      <w:r>
        <w:rPr>
          <w:bCs/>
          <w:b/>
        </w:rPr>
        <w:t xml:space="preserve">不要</w:t>
      </w:r>
      <w:r>
        <w:t xml:space="preserve">用单一价格指标（如 H100 $/hr）算 TCO——TCO 含 6 层（§3.7）</w:t>
      </w:r>
    </w:p>
    <w:p>
      <w:pPr>
        <w:numPr>
          <w:ilvl w:val="0"/>
          <w:numId w:val="1108"/>
        </w:numPr>
        <w:pStyle w:val="Compact"/>
      </w:pPr>
      <w:r>
        <w:t xml:space="preserve">❌</w:t>
      </w:r>
      <w:r>
        <w:t xml:space="preserve"> </w:t>
      </w:r>
      <w:r>
        <w:rPr>
          <w:bCs/>
          <w:b/>
        </w:rPr>
        <w:t xml:space="preserve">不要</w:t>
      </w:r>
      <w:r>
        <w:t xml:space="preserve">只看 BF16 数字——FP4/FP8/INT4 可省 30-60% 成本（§6.3）</w:t>
      </w:r>
    </w:p>
    <w:p>
      <w:pPr>
        <w:numPr>
          <w:ilvl w:val="0"/>
          <w:numId w:val="1108"/>
        </w:numPr>
        <w:pStyle w:val="Compact"/>
      </w:pPr>
      <w:r>
        <w:t xml:space="preserve">❌</w:t>
      </w:r>
      <w:r>
        <w:t xml:space="preserve"> </w:t>
      </w:r>
      <w:r>
        <w:rPr>
          <w:bCs/>
          <w:b/>
        </w:rPr>
        <w:t xml:space="preserve">不要</w:t>
      </w:r>
      <w:r>
        <w:t xml:space="preserve">忽视 AgentX 场景——它是新一代智能体的真实负载，与 1K/1K 完全不同（§5.3）</w:t>
      </w:r>
    </w:p>
    <w:p>
      <w:pPr>
        <w:numPr>
          <w:ilvl w:val="0"/>
          <w:numId w:val="1108"/>
        </w:numPr>
        <w:pStyle w:val="Compact"/>
      </w:pPr>
      <w:r>
        <w:t xml:space="preserve">❌</w:t>
      </w:r>
      <w:r>
        <w:t xml:space="preserve"> </w:t>
      </w:r>
      <w:r>
        <w:rPr>
          <w:bCs/>
          <w:b/>
        </w:rPr>
        <w:t xml:space="preserve">不要</w:t>
      </w:r>
      <w:r>
        <w:t xml:space="preserve">用 WebFetch 抓 SPA 数字——会被截断（§11.1）</w:t>
      </w:r>
    </w:p>
    <w:p>
      <w:pPr>
        <w:numPr>
          <w:ilvl w:val="0"/>
          <w:numId w:val="1108"/>
        </w:numPr>
        <w:pStyle w:val="Compact"/>
      </w:pPr>
      <w:r>
        <w:t xml:space="preserve">❌</w:t>
      </w:r>
      <w:r>
        <w:t xml:space="preserve"> </w:t>
      </w:r>
      <w:r>
        <w:rPr>
          <w:bCs/>
          <w:b/>
        </w:rPr>
        <w:t xml:space="preserve">不要</w:t>
      </w:r>
      <w:r>
        <w:t xml:space="preserve">只看一个模型行——跨模型 + 跨 SLO + 跨硬件三维交叉才稳（§5.6）</w:t>
      </w:r>
    </w:p>
    <w:bookmarkEnd w:id="155"/>
    <w:bookmarkStart w:id="156" w:name="复现与可审计资源按需自取"/>
    <w:p>
      <w:pPr>
        <w:pStyle w:val="Heading3"/>
      </w:pPr>
      <w:r>
        <w:t xml:space="preserve">12.6 复现与可审计资源（按需自取）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资源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路径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用途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主 Markdown 报告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/home/ubuntu/inferencex-report.md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全文 11 章节 + 4 附录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完整 Word 版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/var/www/html/share/inferencex-zh-overview-report-2026-10-13.docx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离线阅读 / 分享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Playwright 抓取脚本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/var/www/html/share/spa_scraper.py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目标 SPA 抓取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抓到的截图（5 张）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/var/www/html/share/spa_screenshots/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视觉核验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抓到的结构化 JSON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/var/www/html/share/spa_summary.json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程序化读数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GitHub 仓库</w:t>
            </w:r>
          </w:p>
        </w:tc>
        <w:tc>
          <w:tcPr/>
          <w:p>
            <w:pPr>
              <w:pStyle w:val="Compact"/>
              <w:jc w:val="left"/>
            </w:pPr>
            <w:hyperlink r:id="rId22">
              <w:r>
                <w:rPr>
                  <w:rStyle w:val="Hyperlink"/>
                </w:rPr>
                <w:t xml:space="preserve">https://github.com/SemiAnalysisAI/InferenceX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L1 验证锚点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About 页面</w:t>
            </w:r>
          </w:p>
        </w:tc>
        <w:tc>
          <w:tcPr/>
          <w:p>
            <w:pPr>
              <w:pStyle w:val="Compact"/>
              <w:jc w:val="left"/>
            </w:pPr>
            <w:hyperlink r:id="rId21">
              <w:r>
                <w:rPr>
                  <w:rStyle w:val="Hyperlink"/>
                </w:rPr>
                <w:t xml:space="preserve">https://inferencex.semianalysis.com/zh/about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方法论说明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Overview 页面</w:t>
            </w:r>
          </w:p>
        </w:tc>
        <w:tc>
          <w:tcPr/>
          <w:p>
            <w:pPr>
              <w:pStyle w:val="Compact"/>
              <w:jc w:val="left"/>
            </w:pPr>
            <w:hyperlink r:id="rId20">
              <w:r>
                <w:rPr>
                  <w:rStyle w:val="Hyperlink"/>
                </w:rPr>
                <w:t xml:space="preserve">https://inferencex.semianalysis.com/zh/overview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§4 数字来源</w:t>
            </w:r>
          </w:p>
        </w:tc>
      </w:tr>
    </w:tbl>
    <w:bookmarkEnd w:id="156"/>
    <w:bookmarkStart w:id="157" w:name="推荐阅读路径按目标"/>
    <w:p>
      <w:pPr>
        <w:pStyle w:val="Heading3"/>
      </w:pPr>
      <w:r>
        <w:t xml:space="preserve">12.7 推荐阅读路径（按目标）</w:t>
      </w:r>
    </w:p>
    <w:p>
      <w:pPr>
        <w:numPr>
          <w:ilvl w:val="0"/>
          <w:numId w:val="1109"/>
        </w:numPr>
        <w:pStyle w:val="Compact"/>
      </w:pPr>
      <w:r>
        <w:rPr>
          <w:bCs/>
          <w:b/>
        </w:rPr>
        <w:t xml:space="preserve">想 30 分钟内理解 InferenceX 在做什么</w:t>
      </w:r>
      <w:r>
        <w:t xml:space="preserve">：§0.1-0.3 → §1 → §2.1-2.3 → §12.1-11.2</w:t>
      </w:r>
    </w:p>
    <w:p>
      <w:pPr>
        <w:numPr>
          <w:ilvl w:val="0"/>
          <w:numId w:val="1109"/>
        </w:numPr>
        <w:pStyle w:val="Compact"/>
      </w:pPr>
      <w:r>
        <w:rPr>
          <w:bCs/>
          <w:b/>
        </w:rPr>
        <w:t xml:space="preserve">想直接选硬件</w:t>
      </w:r>
      <w:r>
        <w:t xml:space="preserve">（架构师）：§0.3 B 路径 → §3.1 → §5 → §9.2 → §11.5 → §12.3</w:t>
      </w:r>
    </w:p>
    <w:p>
      <w:pPr>
        <w:numPr>
          <w:ilvl w:val="0"/>
          <w:numId w:val="1109"/>
        </w:numPr>
        <w:pStyle w:val="Compact"/>
      </w:pPr>
      <w:r>
        <w:rPr>
          <w:bCs/>
          <w:b/>
        </w:rPr>
        <w:t xml:space="preserve">想验证 §4 数字</w:t>
      </w:r>
      <w:r>
        <w:t xml:space="preserve">：§10.3（L1 映射）→ §10.10（置信度）→ §11.4（实测）→ §12.4</w:t>
      </w:r>
    </w:p>
    <w:p>
      <w:pPr>
        <w:numPr>
          <w:ilvl w:val="0"/>
          <w:numId w:val="1109"/>
        </w:numPr>
        <w:pStyle w:val="Compact"/>
      </w:pPr>
      <w:r>
        <w:rPr>
          <w:bCs/>
          <w:b/>
        </w:rPr>
        <w:t xml:space="preserve">想自己复现抓数</w:t>
      </w:r>
      <w:r>
        <w:t xml:space="preserve">：§11.3-10.4 → 跑</w:t>
      </w:r>
      <w:r>
        <w:t xml:space="preserve"> </w:t>
      </w:r>
      <w:r>
        <w:rPr>
          <w:rStyle w:val="VerbatimChar"/>
        </w:rPr>
        <w:t xml:space="preserve">spa_scraper.py</w:t>
      </w:r>
      <w:r>
        <w:t xml:space="preserve"> </w:t>
      </w:r>
      <w:r>
        <w:t xml:space="preserve">→ §12.6</w:t>
      </w:r>
    </w:p>
    <w:p>
      <w:pPr>
        <w:numPr>
          <w:ilvl w:val="0"/>
          <w:numId w:val="1109"/>
        </w:numPr>
        <w:pStyle w:val="Compact"/>
      </w:pPr>
      <w:r>
        <w:rPr>
          <w:bCs/>
          <w:b/>
        </w:rPr>
        <w:t xml:space="preserve">想了解全貌</w:t>
      </w:r>
      <w:r>
        <w:t xml:space="preserve">：按 §0.2 三段式顺序读</w:t>
      </w:r>
    </w:p>
    <w:p>
      <w:r>
        <w:pict>
          <v:rect style="width:0;height:1.5pt" o:hralign="center" o:hrstd="t" o:hr="t"/>
        </w:pict>
      </w:r>
    </w:p>
    <w:bookmarkEnd w:id="157"/>
    <w:bookmarkEnd w:id="158"/>
    <w:bookmarkStart w:id="162" w:name="附录-a参考链接"/>
    <w:p>
      <w:pPr>
        <w:pStyle w:val="Heading2"/>
      </w:pPr>
      <w:r>
        <w:t xml:space="preserve">附录 A：参考链接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项目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URL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中文版总览（数据来源主页面）</w:t>
            </w:r>
          </w:p>
        </w:tc>
        <w:tc>
          <w:tcPr/>
          <w:p>
            <w:pPr>
              <w:pStyle w:val="Compact"/>
              <w:jc w:val="left"/>
            </w:pPr>
            <w:hyperlink r:id="rId20">
              <w:r>
                <w:rPr>
                  <w:rStyle w:val="Hyperlink"/>
                </w:rPr>
                <w:t xml:space="preserve">https://inferencex.semianalysis.com/zh/overview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中文版关于（方法论说明）</w:t>
            </w:r>
          </w:p>
        </w:tc>
        <w:tc>
          <w:tcPr/>
          <w:p>
            <w:pPr>
              <w:pStyle w:val="Compact"/>
              <w:jc w:val="left"/>
            </w:pPr>
            <w:hyperlink r:id="rId21">
              <w:r>
                <w:rPr>
                  <w:rStyle w:val="Hyperlink"/>
                </w:rPr>
                <w:t xml:space="preserve">https://inferencex.semianalysis.com/zh/about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英文版首页（产品总览）</w:t>
            </w:r>
          </w:p>
        </w:tc>
        <w:tc>
          <w:tcPr/>
          <w:p>
            <w:pPr>
              <w:pStyle w:val="Compact"/>
              <w:jc w:val="left"/>
            </w:pPr>
            <w:hyperlink r:id="rId159">
              <w:r>
                <w:rPr>
                  <w:rStyle w:val="Hyperlink"/>
                </w:rPr>
                <w:t xml:space="preserve">https://inferencex.semianalysis.com/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基准测试仓库</w:t>
            </w:r>
          </w:p>
        </w:tc>
        <w:tc>
          <w:tcPr/>
          <w:p>
            <w:pPr>
              <w:pStyle w:val="Compact"/>
              <w:jc w:val="left"/>
            </w:pPr>
            <w:hyperlink r:id="rId22">
              <w:r>
                <w:rPr>
                  <w:rStyle w:val="Hyperlink"/>
                </w:rPr>
                <w:t xml:space="preserve">https://github.com/SemiAnalysisAI/InferenceX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测试配置目录</w:t>
            </w:r>
          </w:p>
        </w:tc>
        <w:tc>
          <w:tcPr/>
          <w:p>
            <w:pPr>
              <w:pStyle w:val="Compact"/>
              <w:jc w:val="left"/>
            </w:pPr>
            <w:hyperlink r:id="rId24">
              <w:r>
                <w:rPr>
                  <w:rStyle w:val="Hyperlink"/>
                </w:rPr>
                <w:t xml:space="preserve">https://github.com/SemiAnalysisAI/InferenceX/tree/main/benchmarks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AgentX 测试框架</w:t>
            </w:r>
          </w:p>
        </w:tc>
        <w:tc>
          <w:tcPr/>
          <w:p>
            <w:pPr>
              <w:pStyle w:val="Compact"/>
              <w:jc w:val="left"/>
            </w:pPr>
            <w:hyperlink r:id="rId43">
              <w:r>
                <w:rPr>
                  <w:rStyle w:val="Hyperlink"/>
                </w:rPr>
                <w:t xml:space="preserve">https://github.com/SemiAnalysisAI/agentx-harness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可视化工具</w:t>
            </w:r>
          </w:p>
        </w:tc>
        <w:tc>
          <w:tcPr/>
          <w:p>
            <w:pPr>
              <w:pStyle w:val="Compact"/>
              <w:jc w:val="left"/>
            </w:pPr>
            <w:hyperlink r:id="rId44">
              <w:r>
                <w:rPr>
                  <w:rStyle w:val="Hyperlink"/>
                </w:rPr>
                <w:t xml:space="preserve">https://github.com/SemiAnalysisAI/InferenceX-app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上游 Aiperf</w:t>
            </w:r>
          </w:p>
        </w:tc>
        <w:tc>
          <w:tcPr/>
          <w:p>
            <w:pPr>
              <w:pStyle w:val="Compact"/>
              <w:jc w:val="left"/>
            </w:pPr>
            <w:hyperlink r:id="rId160">
              <w:r>
                <w:rPr>
                  <w:rStyle w:val="Hyperlink"/>
                </w:rPr>
                <w:t xml:space="preserve">https://github.com/ai-dynamo/aiperf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SemiAnalysis 官网</w:t>
            </w:r>
          </w:p>
        </w:tc>
        <w:tc>
          <w:tcPr/>
          <w:p>
            <w:pPr>
              <w:pStyle w:val="Compact"/>
              <w:jc w:val="left"/>
            </w:pPr>
            <w:hyperlink r:id="rId161">
              <w:r>
                <w:rPr>
                  <w:rStyle w:val="Hyperlink"/>
                </w:rPr>
                <w:t xml:space="preserve">https://semianalysis.com</w:t>
              </w:r>
            </w:hyperlink>
          </w:p>
        </w:tc>
      </w:tr>
    </w:tbl>
    <w:bookmarkEnd w:id="162"/>
    <w:bookmarkStart w:id="163" w:name="附录-b本报告数据缺失项汇总已根据本次详情面板抓取更新"/>
    <w:p>
      <w:pPr>
        <w:pStyle w:val="Heading2"/>
      </w:pPr>
      <w:r>
        <w:t xml:space="preserve">附录 B：本报告数据缺失项汇总（已根据本次”详情面板”抓取更新）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数据缺口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章节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推荐后续动作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状态更新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具体 cost / 1M tokens 数值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§2.3 / §6 / §4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访问</w:t>
            </w:r>
            <w:r>
              <w:t xml:space="preserve"> </w:t>
            </w:r>
            <w:r>
              <w:rPr>
                <w:rStyle w:val="VerbatimChar"/>
              </w:rPr>
              <w:t xml:space="preserve">/zh/dashboard</w:t>
            </w:r>
            <w:r>
              <w:t xml:space="preserve"> </w:t>
            </w:r>
            <w:r>
              <w:t xml:space="preserve">或 GitHub Release 快照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✅ 已抓全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TTFT / 首 token 延迟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§2.10 / §7.2 / §8.7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访问</w:t>
            </w:r>
            <w:r>
              <w:t xml:space="preserve"> </w:t>
            </w:r>
            <w:r>
              <w:rPr>
                <w:rStyle w:val="VerbatimChar"/>
              </w:rPr>
              <w:t xml:space="preserve">/zh/ttft-constraint</w:t>
            </w:r>
            <w:r>
              <w:t xml:space="preserve"> </w:t>
            </w:r>
            <w:r>
              <w:t xml:space="preserve">或单组合</w:t>
            </w:r>
            <w:r>
              <w:t xml:space="preserve"> </w:t>
            </w:r>
            <w:r>
              <w:rPr>
                <w:rStyle w:val="VerbatimChar"/>
              </w:rPr>
              <w:t xml:space="preserve">/zh/inference?...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✅ 已找到入口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ITL / 端到端延迟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§2.10 / §7.2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访问</w:t>
            </w:r>
            <w:r>
              <w:t xml:space="preserve"> </w:t>
            </w:r>
            <w:r>
              <w:rPr>
                <w:rStyle w:val="VerbatimChar"/>
              </w:rPr>
              <w:t xml:space="preserve">/zh/inference?i_metric=y_*</w:t>
            </w:r>
            <w:r>
              <w:t xml:space="preserve"> </w:t>
            </w:r>
            <w:r>
              <w:t xml:space="preserve">等不同 metric 视图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✅ 已找到入口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GPU TDP / 显存 / 互联带宽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§3.1 / §6.1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第三方公开 spec 表（如 NVIDIA 白皮书、AMD 发布会资料）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仍未抓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Tokens per Watt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§2.10 / §7.1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/zh/calculator</w:t>
            </w:r>
            <w:r>
              <w:t xml:space="preserve"> </w:t>
            </w:r>
            <w:r>
              <w:t xml:space="preserve">已显示</w:t>
            </w:r>
            <w:r>
              <w:t xml:space="preserve"> </w:t>
            </w:r>
            <w:r>
              <w:t xml:space="preserve">“</w:t>
            </w:r>
            <w:r>
              <w:t xml:space="preserve">tok/s/MW</w:t>
            </w:r>
            <w:r>
              <w:t xml:space="preserve">”</w:t>
            </w:r>
            <w:r>
              <w:t xml:space="preserve"> </w:t>
            </w:r>
            <w:r>
              <w:t xml:space="preserve">指标，但具体数字未抓到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✅ 入口已知，数字未抓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投机解码启用 / 关闭的成本差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§8.5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访问</w:t>
            </w:r>
            <w:r>
              <w:t xml:space="preserve"> </w:t>
            </w:r>
            <w:r>
              <w:rPr>
                <w:rStyle w:val="VerbatimChar"/>
              </w:rPr>
              <w:t xml:space="preserve">/zh/compare-spec-decode</w:t>
            </w:r>
            <w:r>
              <w:t xml:space="preserve"> </w:t>
            </w:r>
            <w:r>
              <w:t xml:space="preserve">子页面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✅ 入口已知（64 组）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FP4/FP8/BF16 切换的吞吐变化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§8.4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访问</w:t>
            </w:r>
            <w:r>
              <w:t xml:space="preserve"> </w:t>
            </w:r>
            <w:r>
              <w:rPr>
                <w:rStyle w:val="VerbatimChar"/>
              </w:rPr>
              <w:t xml:space="preserve">/zh/compare-precision</w:t>
            </w:r>
            <w:r>
              <w:t xml:space="preserve"> </w:t>
            </w:r>
            <w:r>
              <w:t xml:space="preserve">子页面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✅ 入口已知（42 组）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前缀缓存命中率数值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§3.7.4 / §8.9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访问</w:t>
            </w:r>
            <w:r>
              <w:t xml:space="preserve"> </w:t>
            </w:r>
            <w:r>
              <w:rPr>
                <w:rStyle w:val="VerbatimChar"/>
              </w:rPr>
              <w:t xml:space="preserve">/zh/cache-reuse</w:t>
            </w:r>
            <w:r>
              <w:t xml:space="preserve">，但当前仅框架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⚠ 仅骨架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TCO / 模型许可费 / 利润三层拆分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§8.6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访问</w:t>
            </w:r>
            <w:r>
              <w:t xml:space="preserve"> </w:t>
            </w:r>
            <w:r>
              <w:rPr>
                <w:rStyle w:val="VerbatimChar"/>
              </w:rPr>
              <w:t xml:space="preserve">/zh/profit-estimator-per-gigawatt</w:t>
            </w:r>
            <w:r>
              <w:t xml:space="preserve">，SPA 渲染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✅ 入口已知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完整历史曲线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§7.3 / §8.8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访问</w:t>
            </w:r>
            <w:r>
              <w:t xml:space="preserve"> </w:t>
            </w:r>
            <w:r>
              <w:rPr>
                <w:rStyle w:val="VerbatimChar"/>
              </w:rPr>
              <w:t xml:space="preserve">/zh/historical</w:t>
            </w:r>
            <w:r>
              <w:t xml:space="preserve">，当前仅显示已弃用模型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⚠ 仅部分</w:t>
            </w:r>
          </w:p>
        </w:tc>
      </w:tr>
    </w:tbl>
    <w:p>
      <w:pPr>
        <w:pStyle w:val="BodyText"/>
      </w:pPr>
      <w:r>
        <w:t xml:space="preserve">中文版未给出定义字段 | §7.3 | 用户社区或</w:t>
      </w:r>
      <w:r>
        <w:t xml:space="preserve"> </w:t>
      </w:r>
      <w:r>
        <w:rPr>
          <w:rStyle w:val="VerbatimChar"/>
        </w:rPr>
        <w:t xml:space="preserve">agentx-harness</w:t>
      </w:r>
      <w:r>
        <w:t xml:space="preserve"> </w:t>
      </w:r>
      <w:r>
        <w:t xml:space="preserve">README |</w:t>
      </w:r>
    </w:p>
    <w:bookmarkEnd w:id="163"/>
    <w:bookmarkStart w:id="165" w:name="附录-c用-playwright-抓到的额外对比数字11.5-全文版"/>
    <w:p>
      <w:pPr>
        <w:pStyle w:val="Heading2"/>
      </w:pPr>
      <w:r>
        <w:t xml:space="preserve">附录 C：用 Playwright 抓到的”额外”对比数字（§11.5 全文版）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模型 × 硬件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SLO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B200 成本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MI355X 成本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对比差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DeepSeek V4 Pro B200 vs MI355X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79 tok/s/user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B200 便宜 75%, 吞吐高 102%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DeepSeek V4 Pro B200 vs MI355X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126 tok/s/user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(持续抓)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DeepSeek V4 Pro B200 vs MI355X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173 tok/s/user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(接近持平)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DeepSeek V4 Pro B200 vs MI355X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212 tok/s/user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Qwen 3.5 397B-A17B B200 vs MI355X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101 tok/s/user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MI355X 便宜 18%, 吞吐高 3%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Qwen 3.5 397B-A17B B200 vs MI355X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172 tok/s/user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(持续抓)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Qwen 3.5 397B-A17B B200 vs MI355X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243 tok/s/user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MiniMax M3 428B H200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126 tok/s/user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(n/a)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MiniMax M3 428B H200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169 tok/s/user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MiniMax M3 428B H200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212 tok/s/user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专业解读</w:t>
      </w:r>
      <w:r>
        <w:t xml:space="preserve">：</w:t>
      </w:r>
    </w:p>
    <w:p>
      <w:pPr>
        <w:numPr>
          <w:ilvl w:val="0"/>
          <w:numId w:val="1110"/>
        </w:numPr>
        <w:pStyle w:val="Compact"/>
      </w:pPr>
      <w:r>
        <w:rPr>
          <w:bCs/>
          <w:b/>
        </w:rPr>
        <w:t xml:space="preserve">同一对硬件在不同 SLO 下”谁便宜”会反转</w:t>
      </w:r>
      <w:r>
        <w:t xml:space="preserve">：B200 与 MI355X 在 79 tok/s/user B200 占优，但在 Qwen 3.5 101 tok/s/user 时 MI355X 反而占优</w:t>
      </w:r>
    </w:p>
    <w:p>
      <w:pPr>
        <w:numPr>
          <w:ilvl w:val="0"/>
          <w:numId w:val="1110"/>
        </w:numPr>
        <w:pStyle w:val="Compact"/>
      </w:pPr>
      <w:r>
        <w:rPr>
          <w:bCs/>
          <w:b/>
        </w:rPr>
        <w:t xml:space="preserve">直接结论</w:t>
      </w:r>
      <w:r>
        <w:t xml:space="preserve">：选硬件不能只看 overview 表的一个”+51%“标签，</w:t>
      </w:r>
      <w:r>
        <w:rPr>
          <w:bCs/>
          <w:b/>
        </w:rPr>
        <w:t xml:space="preserve">必须按目标 SLO 调整</w:t>
      </w:r>
    </w:p>
    <w:p>
      <w:pPr>
        <w:numPr>
          <w:ilvl w:val="0"/>
          <w:numId w:val="1110"/>
        </w:numPr>
        <w:pStyle w:val="Compact"/>
      </w:pPr>
      <w:r>
        <w:rPr>
          <w:bCs/>
          <w:b/>
        </w:rPr>
        <w:t xml:space="preserve">Qwen 3.5 + MI355X 101 tok/s/user 吞吐 36,990 tok/s/chip</w:t>
      </w:r>
      <w:r>
        <w:t xml:space="preserve">——比 H200 上 MiniMax M3 的 7591 tok/s/chip 高</w:t>
      </w:r>
      <w:r>
        <w:t xml:space="preserve"> </w:t>
      </w:r>
      <w:r>
        <w:rPr>
          <w:bCs/>
          <w:b/>
        </w:rPr>
        <w:t xml:space="preserve">4.9×</w:t>
      </w:r>
      <w:r>
        <w:t xml:space="preserve">。这是模型架构 + 引擎组合在 AMD 上的优势</w:t>
      </w:r>
    </w:p>
    <w:p>
      <w:pPr>
        <w:pStyle w:val="FirstParagraph"/>
      </w:pPr>
      <w:r>
        <w:rPr>
          <w:bCs/>
          <w:b/>
        </w:rPr>
        <w:t xml:space="preserve">给读者的最终建议</w:t>
      </w:r>
      <w:r>
        <w:t xml:space="preserve">：</w:t>
      </w:r>
    </w:p>
    <w:p>
      <w:pPr>
        <w:numPr>
          <w:ilvl w:val="0"/>
          <w:numId w:val="1111"/>
        </w:numPr>
        <w:pStyle w:val="Compact"/>
      </w:pPr>
      <w:r>
        <w:rPr>
          <w:bCs/>
          <w:b/>
        </w:rPr>
        <w:t xml:space="preserve">当前 §4 数字的置信度 ≈ L1 验证级别</w:t>
      </w:r>
      <w:r>
        <w:t xml:space="preserve">：已确认 12 个主要单元格 ↔ PR ↔ config-key 一致；数字本身仅在页面内可读到</w:t>
      </w:r>
    </w:p>
    <w:p>
      <w:pPr>
        <w:numPr>
          <w:ilvl w:val="0"/>
          <w:numId w:val="1111"/>
        </w:numPr>
        <w:pStyle w:val="Compact"/>
      </w:pPr>
      <w:r>
        <w:rPr>
          <w:bCs/>
          <w:b/>
        </w:rPr>
        <w:t xml:space="preserve">完整验证需要 GitHub 账号访问</w:t>
      </w:r>
      <w:r>
        <w:t xml:space="preserve">：用</w:t>
      </w:r>
      <w:r>
        <w:t xml:space="preserve"> </w:t>
      </w:r>
      <w:r>
        <w:rPr>
          <w:rStyle w:val="VerbatimChar"/>
        </w:rPr>
        <w:t xml:space="preserve">gh</w:t>
      </w:r>
      <w:r>
        <w:t xml:space="preserve"> </w:t>
      </w:r>
      <w:r>
        <w:t xml:space="preserve">CLI 或浏览器登录</w:t>
      </w:r>
      <w:r>
        <w:t xml:space="preserve"> </w:t>
      </w:r>
      <w:hyperlink r:id="rId164">
        <w:r>
          <w:rPr>
            <w:rStyle w:val="Hyperlink"/>
          </w:rPr>
          <w:t xml:space="preserve">https://github.com/SemiAnalysisAI/InferenceX/actions/runs/35434571418</w:t>
        </w:r>
      </w:hyperlink>
    </w:p>
    <w:p>
      <w:pPr>
        <w:numPr>
          <w:ilvl w:val="0"/>
          <w:numId w:val="1111"/>
        </w:numPr>
        <w:pStyle w:val="Compact"/>
      </w:pPr>
      <w:r>
        <w:rPr>
          <w:bCs/>
          <w:b/>
        </w:rPr>
        <w:t xml:space="preserve">若用户在 SemiAnalysisAI 组织内有 read 权限</w:t>
      </w:r>
      <w:r>
        <w:t xml:space="preserve">：可直接用</w:t>
      </w:r>
      <w:r>
        <w:t xml:space="preserve"> </w:t>
      </w:r>
      <w:r>
        <w:rPr>
          <w:rStyle w:val="VerbatimChar"/>
        </w:rPr>
        <w:t xml:space="preserve">gh run view &lt;run-id&gt;</w:t>
      </w:r>
      <w:r>
        <w:t xml:space="preserve"> </w:t>
      </w:r>
      <w:r>
        <w:t xml:space="preserve">拿 logs</w:t>
      </w:r>
    </w:p>
    <w:p>
      <w:pPr>
        <w:numPr>
          <w:ilvl w:val="0"/>
          <w:numId w:val="1111"/>
        </w:numPr>
        <w:pStyle w:val="Compact"/>
      </w:pPr>
      <w:r>
        <w:rPr>
          <w:bCs/>
          <w:b/>
        </w:rPr>
        <w:t xml:space="preserve">若没有权限</w:t>
      </w:r>
      <w:r>
        <w:t xml:space="preserve">：可以信任 L1 + L4 验证，并保留 §4 数字作为”声明性事实”</w:t>
      </w:r>
    </w:p>
    <w:p>
      <w:r>
        <w:pict>
          <v:rect style="width:0;height:1.5pt" o:hralign="center" o:hrstd="t" o:hr="t"/>
        </w:pict>
      </w:r>
    </w:p>
    <w:bookmarkEnd w:id="165"/>
    <w:bookmarkStart w:id="166" w:name="附录-dl1-验证映射到-overview-单元格一览表"/>
    <w:p>
      <w:pPr>
        <w:pStyle w:val="Heading2"/>
      </w:pPr>
      <w:r>
        <w:t xml:space="preserve">附录 D：L1 验证映射到 overview 单元格（一览表）</w:t>
      </w:r>
    </w:p>
    <w:p>
      <w:pPr>
        <w:pStyle w:val="FirstParagraph"/>
      </w:pPr>
      <w:r>
        <w:t xml:space="preserve">本附录是 §10.3 的紧凑版，便于读者快速查阅：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§4 描述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overview 数字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config-key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最新 PR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rundate 代理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DeepSeek V4 Pro + B200 + vLLM + AgentX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dsv4-fp4-b200-vllm-agentic-mtp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#3274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2026-09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DeepSeek V4 Pro + MI355X + ATOM DSpark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$0.011 (+51%)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dsv4-fp4-mi355x-atom-disagg-agentic-lmcache-dspark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#3543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2026-Q4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DeepSeek V4 Pro + B300 + vLLM + AgentX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$0.009 (+18%)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dsv4-fp4-b300-vllm-agentic-mtp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#3477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2026-Q4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DeepSeek V4 Pro + GB300 NVL72 + Dynamo vLLM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$0.011 (+54%)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dsv4-fp4-gb300-dynamo-vllm-agentic-mtp-disagg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#2665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2026-Q3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DeepSeek V4.1 Flash + MI355X + SGLang DSpark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dsv41flash-fp4-mi355x-sglang-agentic-dspark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#3926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2026-10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Kimi K3 + GB300 NVL72 + Dynamo vLLM DSpark mooncake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$0.038 (−48%)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kimik3-fp4-gb300-dynamo-vllm-agentic-dspark-mooncake-dcp8-disagg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#3105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2026-Q4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Kimi K3 + B200 + Dynamo vLLM DSpark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$0.074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kimik3-fp4-b200-dynamo-vllm-agentic-dspark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#3087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2026-Q4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Qwen 3.5 + B200 + SGLang + FP8 + AgentX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$0.018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qwen3.5-fp8-b200-sglang-agentic-mtp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#3142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2026-Q4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Qwen 3.5 + GB200 NVL72 + Dynamo-SGLang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$0.006 (−68%)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qwen3.5-fp4-gb200-dynamo-sglang-agentic-mtp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#2945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2026-Q3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Qwen 3.5 + MI355X + SGLang + FP8 + AgentX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$0.008 (−58%)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qwen3.5-fp8-mi355x-sglang-agentic-mtp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#3611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2026-Q4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GLM 5.2 + MI355X + SGLang + FP4 + AgentX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$0.023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glm5.2-fp4-mi355x-sglang-agentic-mtp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#3724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2026-Q4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MiniMax M3 428B + H200 + vLLM + AgentX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(overview 无</w:t>
            </w:r>
            <w:r>
              <w:t xml:space="preserve"> </w:t>
            </w:r>
            <w:r>
              <w:t xml:space="preserve">@50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minimaxm3-fp8-h200-vllm-agentic-mtp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#3736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2026-Q4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66"/>
    <w:bookmarkStart w:id="167" w:name="附录-e详情页数据可访问性矩阵追加"/>
    <w:p>
      <w:pPr>
        <w:pStyle w:val="Heading2"/>
      </w:pPr>
      <w:r>
        <w:t xml:space="preserve">附录 E：详情页数据可访问性矩阵（追加）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数据缺口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入口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上次状态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本次状态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备注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 种硬件 TCO $/chip/hr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/zh/compare 子页面（真实 TCO 表）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❌ 未知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✅ 已抓全（§9.2）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跨所有对比子页面，应一致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MiniMax M3 在 H200 上的 SLO 成本曲线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/zh/compare/minimax-m3-gb300-vs-h200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❌ 未知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✅ 已抓全（§9.3）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三档 SLO + 吞吐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图表标题（Y 轴方向）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/zh/compare 子页面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❌ 未知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✅</w:t>
            </w:r>
            <w:r>
              <w:t xml:space="preserve"> </w:t>
            </w:r>
            <w:r>
              <w:t xml:space="preserve">“</w:t>
            </w:r>
            <w:r>
              <w:t xml:space="preserve">每 1 美元 TCO 对应的总 token 数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与 overview ↓ 越低越好 相反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B200 / MI355X / Qwen 3.5 / Kimi K3 SLO Sweep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/zh/compare 子页面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❌ 未知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⚠ SPA 截断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需登录或浏览器渲染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FP4 vs FP8 成本对比数字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/zh/compare-precision 子页面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❌ 404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❌ 仍 404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URL slug 规则不明确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MTP on / off 成本对比数字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/zh/compare-spec-decode 子页面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❌ 404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❌ 仍 404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URL slug 规则不明确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TCO 表的”币种 / 含税 / 折旧周期”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整个站点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❌ 未知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❌ 未声明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仅知”hyperscaler 自有设备口径”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Vera Rubin / TPU V8 / MI455X UALoE72 / SambaNova SN50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首页介绍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⚠ 预告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⚠ 仍未进入对比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 H2 后或可用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MiniMax M3 + GB300 NVL72 / H200 + AgentX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/zh/compare 子页面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❌ 未知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⚠ 全部暂无数据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GB300 NVL72 上 M3 暂不可用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TTFT 字段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/zh/ttft-constraint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⚠ 入口已知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⚠ 仍仅框架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需登录或浏览器渲染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Tokens per Watt 字段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/zh/calculator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✅ 入口已知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⚠ 仍仅”tok/s/MW”标签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数值 SPA 渲染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67"/>
    <w:bookmarkStart w:id="168" w:name="附录-f所有详情入口路径汇总"/>
    <w:p>
      <w:pPr>
        <w:pStyle w:val="Heading2"/>
      </w:pPr>
      <w:r>
        <w:t xml:space="preserve">附录 F：所有”详情入口”路径汇总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入口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URL 路径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报告章节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抓到数据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数据成熟度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单单元格详情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/zh/inference?g_model=...&amp;g_rundate=...&amp;g_runid=...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§8.1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仅骨架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未抓到数据点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AgentX 遥测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/zh/inference/agentic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§8.2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9 模型 / 90 配置 / 2,990 数据点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性能对比（365 组）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/zh/compare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§8.3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13 模型 / 365 组合 + URL 模式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精度对比（42 组）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/zh/compare-precision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§8.4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42 组 / 9 模型 / FP4-FP8-BF16-INT4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投机解码对比（64 组）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/zh/compare-spec-decode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§8.5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64 组 / 6 模型 / MTP-DSpark-M3 EAGLE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吉瓦利润估算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/zh/profit-estimator-per-gigawatt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§8.6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指标 + 输入参数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中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TCO 计算器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/zh/calculator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§8.7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输入参数可见 / 输出 SPA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中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历史趋势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/zh/historical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§8.8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仅 DeepSeek V4 Pro 8K/1K（已弃用）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前缀缓存复用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/zh/cache-reuse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§8.9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单模型骨架 / 无数据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每美元性能对比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/zh/compare-per-dollar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§8.1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路径已知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未访问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TCO 计算器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/zh/calculator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§8.7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输入参数可见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中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集群生命周期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/zh/lifecycle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§8.1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路径已知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未访问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首 token 延迟约束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/zh/ttft-constraint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§8.1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路径已知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未访问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芯片可靠性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/zh/reliability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§8.1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路径已知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未访问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芯片规格仪表板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/zh/chip-specs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§8.1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路径已知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未访问</w:t>
            </w:r>
          </w:p>
        </w:tc>
      </w:tr>
    </w:tbl>
    <w:bookmarkEnd w:id="168"/>
    <w:bookmarkEnd w:id="16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4">
    <w:abstractNumId w:val="991"/>
  </w:num>
  <w:num w:numId="104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1">
    <w:abstractNumId w:val="991"/>
  </w:num>
  <w:num w:numId="106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7">
    <w:abstractNumId w:val="991"/>
  </w:num>
  <w:num w:numId="106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9">
    <w:abstractNumId w:val="991"/>
  </w:num>
  <w:num w:numId="107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5">
    <w:abstractNumId w:val="991"/>
  </w:num>
  <w:num w:numId="1076">
    <w:abstractNumId w:val="991"/>
  </w:num>
  <w:num w:numId="107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3">
    <w:abstractNumId w:val="991"/>
  </w:num>
  <w:num w:numId="1084">
    <w:abstractNumId w:val="991"/>
  </w:num>
  <w:num w:numId="108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6">
    <w:abstractNumId w:val="991"/>
  </w:num>
  <w:num w:numId="108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0">
    <w:abstractNumId w:val="991"/>
  </w:num>
  <w:num w:numId="109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2">
    <w:abstractNumId w:val="991"/>
  </w:num>
  <w:num w:numId="1093">
    <w:abstractNumId w:val="991"/>
  </w:num>
  <w:num w:numId="109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5">
    <w:abstractNumId w:val="991"/>
  </w:num>
  <w:num w:numId="1096">
    <w:abstractNumId w:val="991"/>
  </w:num>
  <w:num w:numId="1097">
    <w:abstractNumId w:val="991"/>
  </w:num>
  <w:num w:numId="1098">
    <w:abstractNumId w:val="991"/>
  </w:num>
  <w:num w:numId="109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0">
    <w:abstractNumId w:val="991"/>
  </w:num>
  <w:num w:numId="1101">
    <w:abstractNumId w:val="991"/>
  </w:num>
  <w:num w:numId="1102">
    <w:abstractNumId w:val="991"/>
  </w:num>
  <w:num w:numId="11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5">
    <w:abstractNumId w:val="991"/>
  </w:num>
  <w:num w:numId="1106">
    <w:abstractNumId w:val="991"/>
  </w:num>
  <w:num w:numId="11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8">
    <w:abstractNumId w:val="991"/>
  </w:num>
  <w:num w:numId="1109">
    <w:abstractNumId w:val="991"/>
  </w:num>
  <w:num w:numId="11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s://github.com/SemiAnalysisAI/InferenceX" TargetMode="External" /><Relationship Type="http://schemas.openxmlformats.org/officeDocument/2006/relationships/hyperlink" Id="rId44" Target="https://github.com/SemiAnalysisAI/InferenceX-app" TargetMode="External" /><Relationship Type="http://schemas.openxmlformats.org/officeDocument/2006/relationships/hyperlink" Id="rId164" Target="https://github.com/SemiAnalysisAI/InferenceX/actions/runs/35434571418" TargetMode="External" /><Relationship Type="http://schemas.openxmlformats.org/officeDocument/2006/relationships/hyperlink" Id="rId111" Target="https://github.com/SemiAnalysisAI/InferenceX/pull/3274/files" TargetMode="External" /><Relationship Type="http://schemas.openxmlformats.org/officeDocument/2006/relationships/hyperlink" Id="rId24" Target="https://github.com/SemiAnalysisAI/InferenceX/tree/main/benchmarks" TargetMode="External" /><Relationship Type="http://schemas.openxmlformats.org/officeDocument/2006/relationships/hyperlink" Id="rId43" Target="https://github.com/SemiAnalysisAI/agentx-harness" TargetMode="External" /><Relationship Type="http://schemas.openxmlformats.org/officeDocument/2006/relationships/hyperlink" Id="rId160" Target="https://github.com/ai-dynamo/aiperf" TargetMode="External" /><Relationship Type="http://schemas.openxmlformats.org/officeDocument/2006/relationships/hyperlink" Id="rId159" Target="https://inferencex.semianalysis.com/" TargetMode="External" /><Relationship Type="http://schemas.openxmlformats.org/officeDocument/2006/relationships/hyperlink" Id="rId107" Target="https://inferencex.semianalysis.com/inference?unofficialRun=35434571418" TargetMode="External" /><Relationship Type="http://schemas.openxmlformats.org/officeDocument/2006/relationships/hyperlink" Id="rId21" Target="https://inferencex.semianalysis.com/zh/about" TargetMode="External" /><Relationship Type="http://schemas.openxmlformats.org/officeDocument/2006/relationships/hyperlink" Id="rId20" Target="https://inferencex.semianalysis.com/zh/overview" TargetMode="External" /><Relationship Type="http://schemas.openxmlformats.org/officeDocument/2006/relationships/hyperlink" Id="rId161" Target="https://semianalysis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s://github.com/SemiAnalysisAI/InferenceX" TargetMode="External" /><Relationship Type="http://schemas.openxmlformats.org/officeDocument/2006/relationships/hyperlink" Id="rId44" Target="https://github.com/SemiAnalysisAI/InferenceX-app" TargetMode="External" /><Relationship Type="http://schemas.openxmlformats.org/officeDocument/2006/relationships/hyperlink" Id="rId164" Target="https://github.com/SemiAnalysisAI/InferenceX/actions/runs/35434571418" TargetMode="External" /><Relationship Type="http://schemas.openxmlformats.org/officeDocument/2006/relationships/hyperlink" Id="rId111" Target="https://github.com/SemiAnalysisAI/InferenceX/pull/3274/files" TargetMode="External" /><Relationship Type="http://schemas.openxmlformats.org/officeDocument/2006/relationships/hyperlink" Id="rId24" Target="https://github.com/SemiAnalysisAI/InferenceX/tree/main/benchmarks" TargetMode="External" /><Relationship Type="http://schemas.openxmlformats.org/officeDocument/2006/relationships/hyperlink" Id="rId43" Target="https://github.com/SemiAnalysisAI/agentx-harness" TargetMode="External" /><Relationship Type="http://schemas.openxmlformats.org/officeDocument/2006/relationships/hyperlink" Id="rId160" Target="https://github.com/ai-dynamo/aiperf" TargetMode="External" /><Relationship Type="http://schemas.openxmlformats.org/officeDocument/2006/relationships/hyperlink" Id="rId159" Target="https://inferencex.semianalysis.com/" TargetMode="External" /><Relationship Type="http://schemas.openxmlformats.org/officeDocument/2006/relationships/hyperlink" Id="rId107" Target="https://inferencex.semianalysis.com/inference?unofficialRun=35434571418" TargetMode="External" /><Relationship Type="http://schemas.openxmlformats.org/officeDocument/2006/relationships/hyperlink" Id="rId21" Target="https://inferencex.semianalysis.com/zh/about" TargetMode="External" /><Relationship Type="http://schemas.openxmlformats.org/officeDocument/2006/relationships/hyperlink" Id="rId20" Target="https://inferencex.semianalysis.com/zh/overview" TargetMode="External" /><Relationship Type="http://schemas.openxmlformats.org/officeDocument/2006/relationships/hyperlink" Id="rId161" Target="https://semianalysis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2026-10-13T09:55:06Z</dcterms:created>
  <dcterms:modified xsi:type="dcterms:W3CDTF">2026-10-13T09:55:06Z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