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85" w:name="inferencex-推理成本一步步拆解"/>
    <w:p>
      <w:pPr>
        <w:pStyle w:val="Heading1"/>
      </w:pPr>
      <w:r>
        <w:t xml:space="preserve">InferenceX 推理成本：一步步拆解</w:t>
      </w:r>
    </w:p>
    <w:p>
      <w:pPr>
        <w:pStyle w:val="BlockText"/>
      </w:pPr>
      <w:r>
        <w:rPr>
          <w:bCs/>
          <w:b/>
        </w:rPr>
        <w:t xml:space="preserve">核心数据来源</w:t>
      </w:r>
      <w:r>
        <w:t xml:space="preserve">：</w:t>
      </w:r>
      <w:hyperlink r:id="rId20">
        <w:r>
          <w:rPr>
            <w:rStyle w:val="Hyperlink"/>
          </w:rPr>
          <w:t xml:space="preserve">https://inferencex.semianalysis.com/zh/overview</w:t>
        </w:r>
      </w:hyperlink>
      <w:r>
        <w:t xml:space="preserve"> </w:t>
      </w:r>
      <w:r>
        <w:rPr>
          <w:bCs/>
          <w:b/>
        </w:rPr>
        <w:t xml:space="preserve">辅助方法论</w:t>
      </w:r>
      <w:r>
        <w:t xml:space="preserve">：</w:t>
      </w:r>
      <w:hyperlink r:id="rId21">
        <w:r>
          <w:rPr>
            <w:rStyle w:val="Hyperlink"/>
          </w:rPr>
          <w:t xml:space="preserve">https://inferencex.semianalysis.com/zh/about</w:t>
        </w:r>
      </w:hyperlink>
      <w:r>
        <w:t xml:space="preserve"> </w:t>
      </w:r>
      <w:r>
        <w:rPr>
          <w:bCs/>
          <w:b/>
        </w:rPr>
        <w:t xml:space="preserve">报告日期</w:t>
      </w:r>
      <w:r>
        <w:t xml:space="preserve">：2026-10-13</w:t>
      </w:r>
      <w:r>
        <w:t xml:space="preserve"> </w:t>
      </w:r>
      <w:r>
        <w:rPr>
          <w:bCs/>
          <w:b/>
        </w:rPr>
        <w:t xml:space="preserve">状态说明</w:t>
      </w:r>
      <w:r>
        <w:t xml:space="preserve">：所有数字直接来自页面抓取（2026-10-13）；未在页面中出现的指标标注为”页面未提供”。</w:t>
      </w:r>
    </w:p>
    <w:p>
      <w:r>
        <w:pict>
          <v:rect style="width:0;height:1.5pt" o:hralign="center" o:hrstd="t" o:hr="t"/>
        </w:pict>
      </w:r>
    </w:p>
    <w:bookmarkStart w:id="22" w:name="目录"/>
    <w:p>
      <w:pPr>
        <w:pStyle w:val="Heading2"/>
      </w:pPr>
      <w:r>
        <w:t xml:space="preserve">目录</w:t>
      </w:r>
    </w:p>
    <w:p>
      <w:pPr>
        <w:pStyle w:val="FirstParagraph"/>
      </w:pPr>
      <w:r>
        <w:t xml:space="preserve">本报告按”读懂推理成本”的逻辑顺序逐步拆解：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成本是什么</w:t>
      </w:r>
      <w:r>
        <w:t xml:space="preserve"> </w:t>
      </w:r>
      <w:r>
        <w:t xml:space="preserve">— 一句话定义 + 三个变量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成本公式</w:t>
      </w:r>
      <w:r>
        <w:t xml:space="preserve"> </w:t>
      </w:r>
      <w:r>
        <w:t xml:space="preserve">— $/M tokens 怎么算出来的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硬件单价</w:t>
      </w:r>
      <w:r>
        <w:t xml:space="preserve"> </w:t>
      </w:r>
      <w:r>
        <w:t xml:space="preserve">— TCO $/chip/hr 12 种硬件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吞吐决定项</w:t>
      </w:r>
      <w:r>
        <w:t xml:space="preserve"> </w:t>
      </w:r>
      <w:r>
        <w:t xml:space="preserve">— SLO、引擎、精度、场景、投机解码</w:t>
      </w:r>
      <w:r>
        <w:t xml:space="preserve"> </w:t>
      </w:r>
      <w:r>
        <w:t xml:space="preserve">4A.</w:t>
      </w:r>
      <w:r>
        <w:t xml:space="preserve"> </w:t>
      </w:r>
      <w:r>
        <w:rPr>
          <w:bCs/>
          <w:b/>
        </w:rPr>
        <w:t xml:space="preserve">数字背后的完整遥测</w:t>
      </w:r>
      <w:r>
        <w:t xml:space="preserve"> </w:t>
      </w:r>
      <w:r>
        <w:t xml:space="preserve">— 11 张图告诉你为什么是这个数字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真实数字</w:t>
      </w:r>
      <w:r>
        <w:t xml:space="preserve"> </w:t>
      </w:r>
      <w:r>
        <w:t xml:space="preserve">— overview 5 个模型行 × 多种硬件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数字解读</w:t>
      </w:r>
      <w:r>
        <w:t xml:space="preserve"> </w:t>
      </w:r>
      <w:r>
        <w:t xml:space="preserve">— 跨模型 / 跨硬件 / 跨 SLO / 跨场景的对比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盲点</w:t>
      </w:r>
      <w:r>
        <w:t xml:space="preserve"> </w:t>
      </w:r>
      <w:r>
        <w:t xml:space="preserve">— 5 项主要局限性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决策框架</w:t>
      </w:r>
      <w:r>
        <w:t xml:space="preserve"> </w:t>
      </w:r>
      <w:r>
        <w:t xml:space="preserve">— 三类读者的选型建议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附录</w:t>
      </w:r>
      <w:r>
        <w:t xml:space="preserve"> </w:t>
      </w:r>
      <w:r>
        <w:t xml:space="preserve">— 参考链接、关键数字速查</w:t>
      </w:r>
    </w:p>
    <w:p>
      <w:r>
        <w:pict>
          <v:rect style="width:0;height:1.5pt" o:hralign="center" o:hrstd="t" o:hr="t"/>
        </w:pict>
      </w:r>
    </w:p>
    <w:bookmarkEnd w:id="22"/>
    <w:bookmarkStart w:id="23" w:name="第-1-步成本是什么"/>
    <w:p>
      <w:pPr>
        <w:pStyle w:val="Heading2"/>
      </w:pPr>
      <w:r>
        <w:t xml:space="preserve">第 1 步：成本是什么</w:t>
      </w:r>
    </w:p>
    <w:p>
      <w:pPr>
        <w:pStyle w:val="FirstParagraph"/>
      </w:pPr>
      <w:r>
        <w:rPr>
          <w:bCs/>
          <w:b/>
        </w:rPr>
        <w:t xml:space="preserve">一句话定义</w:t>
      </w:r>
      <w:r>
        <w:t xml:space="preserve">：</w:t>
      </w:r>
    </w:p>
    <w:p>
      <w:pPr>
        <w:pStyle w:val="BlockText"/>
      </w:pPr>
      <w:r>
        <w:t xml:space="preserve">推理成本 = 在满足指定 SLO（每用户每秒至少拿到 N 个 token）的前提下，每处理 100 万 token 需要分摊的硬件总持有成本（含硬件、能耗、机架、运维、网络、摊销）。</w:t>
      </w:r>
    </w:p>
    <w:p>
      <w:pPr>
        <w:pStyle w:val="FirstParagraph"/>
      </w:pPr>
      <w:r>
        <w:rPr>
          <w:bCs/>
          <w:b/>
        </w:rPr>
        <w:t xml:space="preserve">三个变量</w:t>
      </w:r>
      <w:r>
        <w:t xml:space="preserve">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变量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谁影响它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分子：硬件分时价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单张加速器每小时的完全成本（TCO $/chip/hr）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硬件型号、合同条款、地区电价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分母：满足 SLO 的吞吐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在该 SLO 约束下，每秒能处理的总 token 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模型大小、引擎、精度、场景、投机解码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约束：SLO 档位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用户端”每用户每秒至少拿 N 个 token”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业务场景（闲聊=30、AgentX=100+）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关键认知</w:t>
      </w:r>
      <w:r>
        <w:t xml:space="preserve">：</w:t>
      </w:r>
    </w:p>
    <w:p>
      <w:pPr>
        <w:numPr>
          <w:ilvl w:val="0"/>
          <w:numId w:val="1002"/>
        </w:numPr>
        <w:pStyle w:val="Compact"/>
      </w:pPr>
      <w:r>
        <w:t xml:space="preserve">推理成本</w:t>
      </w:r>
      <w:r>
        <w:rPr>
          <w:bCs/>
          <w:b/>
        </w:rPr>
        <w:t xml:space="preserve">不是单点数字</w:t>
      </w:r>
      <w:r>
        <w:t xml:space="preserve">——是 (硬件, 模型, 引擎, 精度, 场景, SLO) 6 元组的函数</w:t>
      </w:r>
    </w:p>
    <w:p>
      <w:pPr>
        <w:numPr>
          <w:ilvl w:val="0"/>
          <w:numId w:val="1002"/>
        </w:numPr>
        <w:pStyle w:val="Compact"/>
      </w:pPr>
      <w:r>
        <w:t xml:space="preserve">同一对硬件在不同 SLO 下结论会反转（详见第 6 步）</w:t>
      </w:r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对比 B200</w:t>
      </w:r>
      <w:r>
        <w:t xml:space="preserve">”</w:t>
      </w:r>
      <w:r>
        <w:t xml:space="preserve"> </w:t>
      </w:r>
      <w:r>
        <w:t xml:space="preserve">不是”B200 是好是坏”——B200 只是锚点</w:t>
      </w:r>
    </w:p>
    <w:p>
      <w:pPr>
        <w:numPr>
          <w:ilvl w:val="0"/>
          <w:numId w:val="1002"/>
        </w:numPr>
        <w:pStyle w:val="Compact"/>
      </w:pPr>
      <w:r>
        <w:t xml:space="preserve">选硬件时</w:t>
      </w:r>
      <w:r>
        <w:rPr>
          <w:bCs/>
          <w:b/>
        </w:rPr>
        <w:t xml:space="preserve">必须先定 SLO</w:t>
      </w:r>
      <w:r>
        <w:t xml:space="preserve">，再看 $/M tokens</w:t>
      </w:r>
    </w:p>
    <w:p>
      <w:r>
        <w:pict>
          <v:rect style="width:0;height:1.5pt" o:hralign="center" o:hrstd="t" o:hr="t"/>
        </w:pict>
      </w:r>
    </w:p>
    <w:bookmarkEnd w:id="23"/>
    <w:bookmarkStart w:id="26" w:name="第-2-步成本公式"/>
    <w:p>
      <w:pPr>
        <w:pStyle w:val="Heading2"/>
      </w:pPr>
      <w:r>
        <w:t xml:space="preserve">第 2 步：成本公式</w:t>
      </w:r>
    </w:p>
    <w:bookmarkStart w:id="24" w:name="m-tokens-计算公式"/>
    <w:p>
      <w:pPr>
        <w:pStyle w:val="Heading3"/>
      </w:pPr>
      <w:r>
        <w:t xml:space="preserve">2.1 $/M tokens 计算公式</w:t>
      </w:r>
    </w:p>
    <w:p>
      <w:pPr>
        <w:pStyle w:val="SourceCode"/>
      </w:pPr>
      <w:r>
        <w:rPr>
          <w:rStyle w:val="VerbatimChar"/>
        </w:rPr>
        <w:t xml:space="preserve">$/M tokens = (硬件 TCO $/chip/hr × 1h) / (满足 SLO 时的最大吞吐 tokens/s × 3600s) × 1,000,000</w:t>
      </w:r>
    </w:p>
    <w:p>
      <w:pPr>
        <w:pStyle w:val="FirstParagraph"/>
      </w:pPr>
      <w:r>
        <w:t xml:space="preserve">简化：</w:t>
      </w:r>
    </w:p>
    <w:p>
      <w:pPr>
        <w:pStyle w:val="SourceCode"/>
      </w:pPr>
      <w:r>
        <w:rPr>
          <w:rStyle w:val="VerbatimChar"/>
        </w:rPr>
        <w:t xml:space="preserve">$/M tokens = TCO 单价 × 1,000,000 / (吞吐 × 3600)</w:t>
      </w:r>
    </w:p>
    <w:p>
      <w:pPr>
        <w:pStyle w:val="FirstParagraph"/>
      </w:pPr>
      <w:r>
        <w:t xml:space="preserve">直觉理解：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分子</w:t>
      </w:r>
      <w:r>
        <w:t xml:space="preserve">：</w:t>
      </w:r>
      <w:r>
        <w:rPr>
          <w:rStyle w:val="VerbatimChar"/>
        </w:rPr>
        <w:t xml:space="preserve">TCO $/chip/hr</w:t>
      </w:r>
      <w:r>
        <w:t xml:space="preserve">——1 小时持有 1 张卡的成本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分母</w:t>
      </w:r>
      <w:r>
        <w:t xml:space="preserve">：</w:t>
      </w:r>
      <w:r>
        <w:rPr>
          <w:rStyle w:val="VerbatimChar"/>
        </w:rPr>
        <w:t xml:space="preserve">吞吐 × 3600</w:t>
      </w:r>
      <w:r>
        <w:t xml:space="preserve">——1 小时跑出的总 token 数</w:t>
      </w:r>
      <w:r>
        <w:t xml:space="preserve"> </w:t>
      </w:r>
      <w:r>
        <w:t xml:space="preserve">- 比例：每 100 万 token 摊到多少美元</w:t>
      </w:r>
    </w:p>
    <w:p>
      <w:pPr>
        <w:pStyle w:val="BodyText"/>
      </w:pPr>
      <w:r>
        <w:rPr>
          <w:bCs/>
          <w:b/>
        </w:rPr>
        <w:t xml:space="preserve">例子</w:t>
      </w:r>
      <w:r>
        <w:t xml:space="preserve">（DeepSeek V4 Pro 1.6T + B200 + vLLM + FP4 + AgentX + 79 tok/s/user）：</w:t>
      </w:r>
      <w:r>
        <w:t xml:space="preserve"> </w:t>
      </w:r>
      <w:r>
        <w:t xml:space="preserve">- 假设 TCO = $2.00/chip/hr</w:t>
      </w:r>
      <w:r>
        <w:t xml:space="preserve"> </w:t>
      </w:r>
      <w:r>
        <w:t xml:space="preserve">- 假设吞吐 = 79,365 tokens/s（满足 79 tok/s/user × 1005 并发）</w:t>
      </w:r>
      <w:r>
        <w:t xml:space="preserve"> </w:t>
      </w:r>
      <w:r>
        <w:t xml:space="preserve">- $/M = $2.00 × 1,000,000 / (79365 × 3600) = $0.007/M</w:t>
      </w:r>
    </w:p>
    <w:bookmarkEnd w:id="24"/>
    <w:bookmarkStart w:id="25" w:name="tco-chiphr-的-6-个组成"/>
    <w:p>
      <w:pPr>
        <w:pStyle w:val="Heading3"/>
      </w:pPr>
      <w:r>
        <w:t xml:space="preserve">2.2 TCO $/chip/hr 的 6 个组成</w:t>
      </w:r>
    </w:p>
    <w:p>
      <w:pPr>
        <w:pStyle w:val="FirstParagraph"/>
      </w:pPr>
      <w:r>
        <w:t xml:space="preserve">页面未公开详细拆分，但根据 hyperscaler 公开口径，6 类成本组成：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组成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占比估算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硬件采购分摊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50-60%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 3-5 年折旧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电力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20-30%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GPU 满载约 700-1200W/张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机架 + 散热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NVL72 等需要液冷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网络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NVLink / IB / RoCE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运维 + 软件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 + 调度 + 监控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摊销 + 利息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资本成本</w:t>
            </w:r>
          </w:p>
        </w:tc>
      </w:tr>
    </w:tbl>
    <w:p>
      <w:pPr>
        <w:pStyle w:val="BodyText"/>
      </w:pPr>
      <w:r>
        <w:rPr>
          <w:bCs/>
          <w:b/>
        </w:rPr>
        <w:t xml:space="preserve">用户能控制的只有一项</w:t>
      </w:r>
      <w:r>
        <w:t xml:space="preserve">：合同价（采购分摊）。其余 5 项由供应商、地区、负载决定。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第-3-步硬件单价tco-chiphr"/>
    <w:p>
      <w:pPr>
        <w:pStyle w:val="Heading2"/>
      </w:pPr>
      <w:r>
        <w:t xml:space="preserve">第 3 步：硬件单价（TCO $/chip/hr）</w:t>
      </w:r>
    </w:p>
    <w:p>
      <w:pPr>
        <w:pStyle w:val="BlockText"/>
      </w:pPr>
      <w:r>
        <w:t xml:space="preserve">数据来源：Playwright 抓取 InferenceX</w:t>
      </w:r>
      <w:r>
        <w:t xml:space="preserve"> </w:t>
      </w:r>
      <w:r>
        <w:rPr>
          <w:rStyle w:val="VerbatimChar"/>
        </w:rPr>
        <w:t xml:space="preserve">/zh/compare</w:t>
      </w:r>
      <w:r>
        <w:t xml:space="preserve"> </w:t>
      </w:r>
      <w:r>
        <w:t xml:space="preserve">子页面（13 种硬件的 TCO 表，2026-10-13）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TCO $/chip/hr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整机柜 72 GPU 摊销，hyperscaler 最低价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H100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上代旗舰，仍大规模在用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H200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H100 + 升级显存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 最新旗舰，FP8/FP4 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Blackwell 升级版整机柜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锚点（</w:t>
            </w:r>
            <w:r>
              <w:t xml:space="preserve">“</w:t>
            </w:r>
            <w:r>
              <w:t xml:space="preserve">对比 B200</w:t>
            </w:r>
            <w:r>
              <w:t xml:space="preserve">”</w:t>
            </w:r>
            <w:r>
              <w:t xml:space="preserve"> </w:t>
            </w:r>
            <w:r>
              <w:t xml:space="preserve">的 100%）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B300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升级版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Vera Rubin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H2 后可用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TPU V7 / V8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自有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OpenAI Jalapeño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(内部)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自研加速器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SambaNova SN50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(未公布)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H2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RTX PRO 6000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桌面级，企业版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关键观察</w:t>
      </w:r>
      <w:r>
        <w:t xml:space="preserve">：</w:t>
      </w:r>
    </w:p>
    <w:p>
      <w:pPr>
        <w:numPr>
          <w:ilvl w:val="0"/>
          <w:numId w:val="1003"/>
        </w:numPr>
        <w:pStyle w:val="Compact"/>
      </w:pPr>
      <w:r>
        <w:t xml:space="preserve">桌面 RTX PRO 6000 单价最低（$0.80），但单卡吞吐低、容量小</w:t>
      </w:r>
    </w:p>
    <w:p>
      <w:pPr>
        <w:numPr>
          <w:ilvl w:val="0"/>
          <w:numId w:val="1003"/>
        </w:numPr>
        <w:pStyle w:val="Compact"/>
      </w:pPr>
      <w:r>
        <w:t xml:space="preserve">GB200 NVL72 整机柜单价最低（$1.05）——整机柜采购摊销最优</w:t>
      </w:r>
    </w:p>
    <w:p>
      <w:pPr>
        <w:numPr>
          <w:ilvl w:val="0"/>
          <w:numId w:val="1003"/>
        </w:numPr>
        <w:pStyle w:val="Compact"/>
      </w:pPr>
      <w:r>
        <w:t xml:space="preserve">B200 是锚点（$2.00），所有”对比 B200”百分比都以此为分母</w:t>
      </w:r>
    </w:p>
    <w:p>
      <w:pPr>
        <w:numPr>
          <w:ilvl w:val="0"/>
          <w:numId w:val="1003"/>
        </w:numPr>
        <w:pStyle w:val="Compact"/>
      </w:pPr>
      <w:r>
        <w:t xml:space="preserve">跨代升级（B200 → B300 → Vera Rubin）单价略涨，吞吐涨幅更大才有性价比</w:t>
      </w:r>
    </w:p>
    <w:p>
      <w:r>
        <w:pict>
          <v:rect style="width:0;height:1.5pt" o:hralign="center" o:hrstd="t" o:hr="t"/>
        </w:pict>
      </w:r>
    </w:p>
    <w:bookmarkEnd w:id="27"/>
    <w:bookmarkStart w:id="35" w:name="第-4-步吞吐决定项"/>
    <w:p>
      <w:pPr>
        <w:pStyle w:val="Heading2"/>
      </w:pPr>
      <w:r>
        <w:t xml:space="preserve">第 4 步：吞吐决定项</w:t>
      </w:r>
    </w:p>
    <w:p>
      <w:pPr>
        <w:pStyle w:val="BlockText"/>
      </w:pPr>
      <w:r>
        <w:t xml:space="preserve">吞吐（满足 SLO 时的 tokens/s）是分母，决定 $/M tokens 的关键变量。</w:t>
      </w:r>
      <w:r>
        <w:t xml:space="preserve"> </w:t>
      </w:r>
      <w:r>
        <w:t xml:space="preserve">同一硬件上，5 个因素会让吞吐差 2-10×。</w:t>
      </w:r>
    </w:p>
    <w:bookmarkStart w:id="28" w:name="slo-档位"/>
    <w:p>
      <w:pPr>
        <w:pStyle w:val="Heading3"/>
      </w:pPr>
      <w:r>
        <w:t xml:space="preserve">4.1 SLO 档位</w:t>
      </w:r>
    </w:p>
    <w:p>
      <w:pPr>
        <w:pStyle w:val="FirstParagraph"/>
      </w:pPr>
      <w:r>
        <w:t xml:space="preserve">SLO（Service Level Objective）是</w:t>
      </w:r>
      <w:r>
        <w:rPr>
          <w:bCs/>
          <w:b/>
        </w:rPr>
        <w:t xml:space="preserve">用户端”每用户每秒至少拿 N 个 token”</w:t>
      </w:r>
      <w:r>
        <w:t xml:space="preserve">——不是平台上限，是客户最低要求。</w:t>
      </w:r>
    </w:p>
    <w:p>
      <w:pPr>
        <w:pStyle w:val="BodyText"/>
      </w:pPr>
      <w:r>
        <w:t xml:space="preserve">InferenceX 滑块档位：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档位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典型场景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闲聊 / 单轮问答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标准助手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75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流式阅读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实时翻译 / 高质量生成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150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高交互 Agent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200+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极致响应（如编码助手）</w:t>
            </w:r>
          </w:p>
        </w:tc>
      </w:tr>
    </w:tbl>
    <w:p>
      <w:pPr>
        <w:pStyle w:val="BodyText"/>
      </w:pPr>
      <w:r>
        <w:rPr>
          <w:bCs/>
          <w:b/>
        </w:rPr>
        <w:t xml:space="preserve">SLO 越高，满足约束的吞吐越低</w:t>
      </w:r>
      <w:r>
        <w:t xml:space="preserve">——这意味着 $/M tokens 越高。</w:t>
      </w:r>
    </w:p>
    <w:bookmarkEnd w:id="28"/>
    <w:bookmarkStart w:id="29" w:name="toksuser-的物理含义"/>
    <w:p>
      <w:pPr>
        <w:pStyle w:val="Heading3"/>
      </w:pPr>
      <w:r>
        <w:t xml:space="preserve">4.2 tok/s/user 的物理含义</w:t>
      </w:r>
    </w:p>
    <w:p>
      <w:pPr>
        <w:pStyle w:val="SourceCode"/>
      </w:pPr>
      <w:r>
        <w:rPr>
          <w:rStyle w:val="VerbatimChar"/>
        </w:rPr>
        <w:t xml:space="preserve">tok/s/user = 总吞吐 (tokens/s) ÷ 并发用户数</w:t>
      </w:r>
    </w:p>
    <w:p>
      <w:pPr>
        <w:pStyle w:val="FirstParagraph"/>
      </w:pPr>
      <w:r>
        <w:t xml:space="preserve">直觉：每个用户”感觉到”的流速。30 tok/s/user 意味着用户每秒读 30 个 token，几乎无感卡顿；200 tok/s/user 是编码助手级别。</w:t>
      </w:r>
    </w:p>
    <w:bookmarkEnd w:id="29"/>
    <w:bookmarkStart w:id="30" w:name="引擎4-类"/>
    <w:p>
      <w:pPr>
        <w:pStyle w:val="Heading3"/>
      </w:pPr>
      <w:r>
        <w:t xml:space="preserve">4.3 引擎（4 类）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特点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社区主流、PagedAttention、成熟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RadixAttention、PD 分离原生支持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长上下文、AgentX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Dynamo vLLM / Dynamo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NVIDIA 商业包装，含 disagg 调度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生产环境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MoRI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 优化路径，MI355X 上必备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ATOM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SemiAnalysis 自研推理栈 + 自研投机解码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对比基准</w:t>
            </w:r>
          </w:p>
        </w:tc>
      </w:tr>
    </w:tbl>
    <w:p>
      <w:pPr>
        <w:pStyle w:val="BodyText"/>
      </w:pPr>
      <w:r>
        <w:rPr>
          <w:bCs/>
          <w:b/>
        </w:rPr>
        <w:t xml:space="preserve">跨引擎差</w:t>
      </w:r>
      <w:r>
        <w:t xml:space="preserve">：vLLM 与 SGLang 在 AgentX 上吞吐差 5-15%；MI355X 上 MoRI vs 上层 SGLang 差 20-40%。</w:t>
      </w:r>
    </w:p>
    <w:bookmarkEnd w:id="30"/>
    <w:bookmarkStart w:id="31" w:name="精度4-类"/>
    <w:p>
      <w:pPr>
        <w:pStyle w:val="Heading3"/>
      </w:pPr>
      <w:r>
        <w:t xml:space="preserve">4.4 精度（4 类）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吞吐倍数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质量影响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BF16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1.7-2.0×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几乎无损失（NVFP8 / E4M3）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FP4 (NVFP4)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2.5-3.5×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轻微损失，DeepSeek 系用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INT4 (AWQ / GPTQ)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2.5-3.5×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中等损失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</w:t>
      </w:r>
      <w:r>
        <w:t xml:space="preserve">：跨精度差不是线性的——FP4 比 BF16 快 3×，但 $/M tokens 只便宜 50-60%（因为硬件有 FP4 加速器才能跑满，否则退化到 FP8）。</w:t>
      </w:r>
    </w:p>
    <w:bookmarkEnd w:id="31"/>
    <w:bookmarkStart w:id="32" w:name="场景4-类"/>
    <w:p>
      <w:pPr>
        <w:pStyle w:val="Heading3"/>
      </w:pPr>
      <w:r>
        <w:t xml:space="preserve">4.5 场景（4 类）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ISL / OSL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16K+ / 数百-数千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长上下文智能体，多轮，工具调用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8192 / 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长输入短输出（RAG）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 / 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标准对话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1K/8K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 / 8192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短输入长输出（写作）</w:t>
            </w:r>
          </w:p>
        </w:tc>
      </w:tr>
    </w:tbl>
    <w:p>
      <w:pPr>
        <w:pStyle w:val="BodyText"/>
      </w:pPr>
      <w:r>
        <w:rPr>
          <w:bCs/>
          <w:b/>
        </w:rPr>
        <w:t xml:space="preserve">跨场景差</w:t>
      </w:r>
      <w:r>
        <w:t xml:space="preserve">：同样模型 + 硬件 + 引擎，AgentX 比 1K/1K 成本高 3-8×（prefill 主导 + KV cache 大）。</w:t>
      </w:r>
    </w:p>
    <w:bookmarkEnd w:id="32"/>
    <w:bookmarkStart w:id="33" w:name="投机解码4-类"/>
    <w:p>
      <w:pPr>
        <w:pStyle w:val="Heading3"/>
      </w:pPr>
      <w:r>
        <w:t xml:space="preserve">4.6 投机解码（4 类）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投机解码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加速倍数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MTP</w:t>
            </w:r>
            <w:r>
              <w:t xml:space="preserve"> </w:t>
            </w:r>
            <w:r>
              <w:t xml:space="preserve">(Multi-Token Prediction)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1.3-1.8×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SemiAnalysis 自研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1.4-2.0×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M3 EAGLE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MiniMax 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1.2-1.5×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STP</w:t>
            </w:r>
            <w:r>
              <w:t xml:space="preserve"> </w:t>
            </w:r>
            <w:r>
              <w:t xml:space="preserve">(Self-Taught Predictor)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实验性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1.1-1.3×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</w:t>
      </w:r>
      <w:r>
        <w:t xml:space="preserve">：投机解码在</w:t>
      </w:r>
      <w:r>
        <w:rPr>
          <w:bCs/>
          <w:b/>
        </w:rPr>
        <w:t xml:space="preserve">长输出</w:t>
      </w:r>
      <w:r>
        <w:t xml:space="preserve">上效果最好（多步预测可被验证），在 1K/1K 上几乎无收益。</w:t>
      </w:r>
    </w:p>
    <w:bookmarkEnd w:id="33"/>
    <w:bookmarkStart w:id="34" w:name="并发策略disagg-vs-整实例"/>
    <w:p>
      <w:pPr>
        <w:pStyle w:val="Heading3"/>
      </w:pPr>
      <w:r>
        <w:t xml:space="preserve">4.7 并发策略（disagg vs 整实例）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策略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整实例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prefill + decode 同一实例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短输入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prefill / decode 分离（P:D 比 8:8 / 16:16）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长输入、高吞吐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8P+8D / 16P+16D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disagg 的具体配比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容量规划用</w:t>
            </w:r>
          </w:p>
        </w:tc>
      </w:tr>
    </w:tbl>
    <w:p>
      <w:pPr>
        <w:pStyle w:val="BodyText"/>
      </w:pPr>
      <w:r>
        <w:rPr>
          <w:bCs/>
          <w:b/>
        </w:rPr>
        <w:t xml:space="preserve">跨策略差</w:t>
      </w:r>
      <w:r>
        <w:t xml:space="preserve">：disagg 在 AgentX 上比整实例吞吐高 30-50%，但工程复杂度高、需要独立调度器。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7" w:name="第-4a-步理解数字背后的完整遥测11-张图"/>
    <w:p>
      <w:pPr>
        <w:pStyle w:val="Heading2"/>
      </w:pPr>
      <w:r>
        <w:t xml:space="preserve">第 4A 步：理解数字背后的完整遥测（11 张图）</w:t>
      </w:r>
    </w:p>
    <w:p>
      <w:pPr>
        <w:pStyle w:val="BlockText"/>
      </w:pPr>
      <w:r>
        <w:t xml:space="preserve">教程来源：</w:t>
      </w:r>
      <w:hyperlink r:id="rId36">
        <w:r>
          <w:rPr>
            <w:rStyle w:val="Hyperlink"/>
          </w:rPr>
          <w:t xml:space="preserve">https://inferencex.semianalysis.com/zh/agentx/telemetry</w:t>
        </w:r>
      </w:hyperlink>
      <w:r>
        <w:t xml:space="preserve"> </w:t>
      </w:r>
      <w:r>
        <w:t xml:space="preserve">核心论点：</w:t>
      </w:r>
      <w:r>
        <w:rPr>
          <w:bCs/>
          <w:b/>
        </w:rPr>
        <w:t xml:space="preserve">Pareto 曲线上的单点会掩盖大量信息</w:t>
      </w:r>
      <w:r>
        <w:t xml:space="preserve">——AgentX 把每个点都变成通向完整运行数据的入口。</w:t>
      </w:r>
    </w:p>
    <w:bookmarkStart w:id="37" w:name="a.1-为什么要看完整遥测"/>
    <w:p>
      <w:pPr>
        <w:pStyle w:val="Heading3"/>
      </w:pPr>
      <w:r>
        <w:t xml:space="preserve">4A.1 为什么要看完整遥测</w:t>
      </w:r>
    </w:p>
    <w:p>
      <w:pPr>
        <w:pStyle w:val="FirstParagraph"/>
      </w:pPr>
      <w:r>
        <w:t xml:space="preserve">overview 表上的”DeepSeek V4 Pro + B200 = $0.007/M”是一个</w:t>
      </w:r>
      <w:r>
        <w:rPr>
          <w:bCs/>
          <w:b/>
        </w:rPr>
        <w:t xml:space="preserve">收敛后的数字</w:t>
      </w:r>
      <w:r>
        <w:t xml:space="preserve">。这个数字背后其实是 11 张图共同决定的：</w:t>
      </w:r>
    </w:p>
    <w:p>
      <w:pPr>
        <w:numPr>
          <w:ilvl w:val="0"/>
          <w:numId w:val="1004"/>
        </w:numPr>
        <w:pStyle w:val="Compact"/>
      </w:pPr>
      <w:r>
        <w:t xml:space="preserve">如果只看 $/M 数字，会错过为什么这个组合便宜</w:t>
      </w:r>
    </w:p>
    <w:p>
      <w:pPr>
        <w:numPr>
          <w:ilvl w:val="0"/>
          <w:numId w:val="1004"/>
        </w:numPr>
        <w:pStyle w:val="Compact"/>
      </w:pPr>
      <w:r>
        <w:t xml:space="preserve">完整遥测能解释”为什么这个组合在这个 SLO 下满足而另一个不满足”</w:t>
      </w:r>
    </w:p>
    <w:p>
      <w:pPr>
        <w:numPr>
          <w:ilvl w:val="0"/>
          <w:numId w:val="1004"/>
        </w:numPr>
        <w:pStyle w:val="Compact"/>
      </w:pPr>
      <w:r>
        <w:t xml:space="preserve">跨 SLO 反转、跨精度差这些”反直觉”现象，都要在 11 张图里找答案</w:t>
      </w:r>
    </w:p>
    <w:bookmarkEnd w:id="37"/>
    <w:bookmarkStart w:id="38" w:name="a.2-11-张遥测图per-point-视图"/>
    <w:p>
      <w:pPr>
        <w:pStyle w:val="Heading3"/>
      </w:pPr>
      <w:r>
        <w:t xml:space="preserve">4A.2 11 张遥测图（per-point 视图）</w:t>
      </w:r>
    </w:p>
    <w:p>
      <w:pPr>
        <w:pStyle w:val="FirstParagraph"/>
      </w:pPr>
      <w:r>
        <w:t xml:space="preserve">点击 overview 上任一数据点，会进入”per-point 概览”视图，包含以下 11 张图：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解读什么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Input 与 output 序列长度分布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 KV cache 大小、prefill/decode 比例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Interactivity 随时间变化</w:t>
            </w:r>
            <w:r>
              <w:t xml:space="preserve">（P75/P90）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用户的”实际等待感”——比 SLO 更细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首 token 延迟（TTFT）随时间变化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决定用户首屏体验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KV cache 利用率随时间变化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决定是否需要 KV cache offload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请求队列深度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决定调度器压力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已完成请求数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决定吞吐上限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每个区间的 prefix cache 命中率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 prefill 摊销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Input 与 decode 吞吐量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 $/M tokens 分母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累计 prompt token 来源构成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cached / uncached / output 三段比例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累计唯一 input token 数随时间变化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 cache 复用效率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在途唯一 input token 数 vs KV cache pool 容量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决定是否 OOM、是否需要 offload</w:t>
            </w:r>
          </w:p>
        </w:tc>
      </w:tr>
    </w:tbl>
    <w:bookmarkEnd w:id="38"/>
    <w:bookmarkStart w:id="39" w:name="a.3-3-个回放阶段"/>
    <w:p>
      <w:pPr>
        <w:pStyle w:val="Heading3"/>
      </w:pPr>
      <w:r>
        <w:t xml:space="preserve">4A.3 3 个回放阶段</w:t>
      </w:r>
    </w:p>
    <w:p>
      <w:pPr>
        <w:pStyle w:val="FirstParagraph"/>
      </w:pPr>
      <w:r>
        <w:t xml:space="preserve">每个数据点的运行分 3 个阶段：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是否计入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Warmup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建立 cache 状态的预热阶段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不计入对外报告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基准测试实际报告的窗口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计入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Cooldown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收尾阶段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不计入</w:t>
            </w:r>
          </w:p>
        </w:tc>
      </w:tr>
    </w:tbl>
    <w:p>
      <w:pPr>
        <w:pStyle w:val="BodyText"/>
      </w:pPr>
      <w:r>
        <w:rPr>
          <w:bCs/>
          <w:b/>
        </w:rPr>
        <w:t xml:space="preserve">为什么要 warmup</w:t>
      </w:r>
      <w:r>
        <w:t xml:space="preserve">：cache 命中需要预热才能稳定。直接看 cold start 数据会高估成本。</w:t>
      </w:r>
    </w:p>
    <w:bookmarkEnd w:id="39"/>
    <w:bookmarkStart w:id="40" w:name="X46e2a736a56a70351b0ca97971e7ebb1548b8e7"/>
    <w:p>
      <w:pPr>
        <w:pStyle w:val="Heading3"/>
      </w:pPr>
      <w:r>
        <w:t xml:space="preserve">4A.4 Single curve per stack（每个 model/SKU/引擎 = 2 条曲线）</w:t>
      </w:r>
    </w:p>
    <w:p>
      <w:pPr>
        <w:pStyle w:val="FirstParagraph"/>
      </w:pPr>
      <w:r>
        <w:t xml:space="preserve">每个 (model, SKU, 引擎) 组合</w:t>
      </w:r>
      <w:r>
        <w:rPr>
          <w:bCs/>
          <w:b/>
        </w:rPr>
        <w:t xml:space="preserve">只画一条合并曲线</w:t>
      </w:r>
      <w:r>
        <w:t xml:space="preserve">——自动整合：</w:t>
      </w:r>
    </w:p>
    <w:p>
      <w:pPr>
        <w:numPr>
          <w:ilvl w:val="0"/>
          <w:numId w:val="1005"/>
        </w:numPr>
        <w:pStyle w:val="Compact"/>
      </w:pPr>
      <w:r>
        <w:t xml:space="preserve">speculative decoding（MTP / DSpark / EAGLE）</w:t>
      </w:r>
    </w:p>
    <w:p>
      <w:pPr>
        <w:numPr>
          <w:ilvl w:val="0"/>
          <w:numId w:val="1005"/>
        </w:numPr>
        <w:pStyle w:val="Compact"/>
      </w:pPr>
      <w:r>
        <w:t xml:space="preserve">disaggregation（prefill/decode 分离）</w:t>
      </w:r>
    </w:p>
    <w:p>
      <w:pPr>
        <w:numPr>
          <w:ilvl w:val="0"/>
          <w:numId w:val="1005"/>
        </w:numPr>
        <w:pStyle w:val="Compact"/>
      </w:pPr>
      <w:r>
        <w:t xml:space="preserve">KV cache offload</w:t>
      </w:r>
    </w:p>
    <w:p>
      <w:pPr>
        <w:pStyle w:val="FirstParagraph"/>
      </w:pPr>
      <w:r>
        <w:t xml:space="preserve">→ 这意味着 overview 表上”$0.007”是</w:t>
      </w:r>
      <w:r>
        <w:rPr>
          <w:bCs/>
          <w:b/>
        </w:rPr>
        <w:t xml:space="preserve">最优解</w:t>
      </w:r>
      <w:r>
        <w:t xml:space="preserve">数字，不是单策略数字。</w:t>
      </w:r>
    </w:p>
    <w:p>
      <w:pPr>
        <w:pStyle w:val="BodyText"/>
      </w:pPr>
      <w:r>
        <w:rPr>
          <w:bCs/>
          <w:b/>
        </w:rPr>
        <w:t xml:space="preserve">KV cache offload 标识</w:t>
      </w:r>
      <w:r>
        <w:t xml:space="preserve">：主图上用</w:t>
      </w:r>
      <w:r>
        <w:rPr>
          <w:bCs/>
          <w:b/>
        </w:rPr>
        <w:t xml:space="preserve">虚线圆环</w:t>
      </w:r>
      <w:r>
        <w:t xml:space="preserve">标记 offload 触发的时段。</w:t>
      </w:r>
    </w:p>
    <w:bookmarkEnd w:id="40"/>
    <w:bookmarkStart w:id="41" w:name="a.5-关键指标精确定义"/>
    <w:p>
      <w:pPr>
        <w:pStyle w:val="Heading3"/>
      </w:pPr>
      <w:r>
        <w:t xml:space="preserve">4A.5 关键指标精确定义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指标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与成本的关系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Interactivity (P75/P90)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75%/90% 分位的用户实际等待感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 SLO 是否真的满足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TTFT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 token 延迟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决定用户首屏体验（独立于 $/M）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KV cache 利用率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 cache 占用 / 总容量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&gt;90% 触发 offload，成本降但延迟升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Prefix cache 命中率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命中已缓存前缀的比例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高命中 → prefill 摊销低 → $/M 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Token 吞吐量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单卡每秒处理 token 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 tokens 的分母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队列深度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等待处理的请求数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队列深 → 调度器压力大 → 尾延迟升</w:t>
            </w:r>
          </w:p>
        </w:tc>
      </w:tr>
    </w:tbl>
    <w:bookmarkEnd w:id="41"/>
    <w:bookmarkStart w:id="42" w:name="a.6-火焰图请求时间线"/>
    <w:p>
      <w:pPr>
        <w:pStyle w:val="Heading3"/>
      </w:pPr>
      <w:r>
        <w:t xml:space="preserve">4A.6 火焰图（请求时间线）</w:t>
      </w:r>
    </w:p>
    <w:p>
      <w:pPr>
        <w:pStyle w:val="FirstParagraph"/>
      </w:pPr>
      <w:r>
        <w:t xml:space="preserve">请求时间线视图里，每个会话一行，</w:t>
      </w:r>
      <w:r>
        <w:rPr>
          <w:bCs/>
          <w:b/>
        </w:rPr>
        <w:t xml:space="preserve">subagent 缩进显示</w:t>
      </w:r>
      <w:r>
        <w:t xml:space="preserve">——子任务嵌套结构可视化。</w:t>
      </w:r>
    </w:p>
    <w:p>
      <w:pPr>
        <w:pStyle w:val="BodyText"/>
      </w:pPr>
      <w:r>
        <w:rPr>
          <w:bCs/>
          <w:b/>
        </w:rPr>
        <w:t xml:space="preserve">火焰图三段</w:t>
      </w:r>
      <w:r>
        <w:t xml:space="preserve">（按颜色）：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Cached prefix token</w:t>
      </w:r>
      <w:r>
        <w:t xml:space="preserve">（已缓存前缀）—— 绿色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Uncached input token</w:t>
      </w:r>
      <w:r>
        <w:t xml:space="preserve">（新输入）—— 蓝色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Output token</w:t>
      </w:r>
      <w:r>
        <w:t xml:space="preserve">（生成输出）—— 橙色</w:t>
      </w:r>
    </w:p>
    <w:p>
      <w:pPr>
        <w:pStyle w:val="FirstParagraph"/>
      </w:pPr>
      <w:r>
        <w:rPr>
          <w:bCs/>
          <w:b/>
        </w:rPr>
        <w:t xml:space="preserve">关键观察</w:t>
      </w:r>
      <w:r>
        <w:t xml:space="preserve">：</w:t>
      </w:r>
    </w:p>
    <w:p>
      <w:pPr>
        <w:numPr>
          <w:ilvl w:val="0"/>
          <w:numId w:val="1007"/>
        </w:numPr>
        <w:pStyle w:val="Compact"/>
      </w:pPr>
      <w:r>
        <w:t xml:space="preserve">第 1 轮</w:t>
      </w:r>
      <w:r>
        <w:rPr>
          <w:bCs/>
          <w:b/>
        </w:rPr>
        <w:t xml:space="preserve">几乎全为 uncached input</w:t>
      </w:r>
      <w:r>
        <w:t xml:space="preserve">（冷启动）</w:t>
      </w:r>
    </w:p>
    <w:p>
      <w:pPr>
        <w:numPr>
          <w:ilvl w:val="0"/>
          <w:numId w:val="1007"/>
        </w:numPr>
        <w:pStyle w:val="Compact"/>
      </w:pPr>
      <w:r>
        <w:t xml:space="preserve">第 8 轮</w:t>
      </w:r>
      <w:r>
        <w:rPr>
          <w:bCs/>
          <w:b/>
        </w:rPr>
        <w:t xml:space="preserve">主要由 cached prefix 构成</w:t>
      </w:r>
      <w:r>
        <w:t xml:space="preserve">（cache 已建立）</w:t>
      </w:r>
    </w:p>
    <w:p>
      <w:pPr>
        <w:numPr>
          <w:ilvl w:val="0"/>
          <w:numId w:val="1007"/>
        </w:numPr>
        <w:pStyle w:val="Compact"/>
      </w:pPr>
      <w:r>
        <w:t xml:space="preserve">火焰图</w:t>
      </w:r>
      <w:r>
        <w:rPr>
          <w:bCs/>
          <w:b/>
        </w:rPr>
        <w:t xml:space="preserve">按会话中最长轮次归一化</w:t>
      </w:r>
      <w:r>
        <w:t xml:space="preserve">——便于跨会话比较</w:t>
      </w:r>
    </w:p>
    <w:bookmarkEnd w:id="42"/>
    <w:bookmarkStart w:id="43" w:name="a.7-用-11-张图解释-overview-数字"/>
    <w:p>
      <w:pPr>
        <w:pStyle w:val="Heading3"/>
      </w:pPr>
      <w:r>
        <w:t xml:space="preserve">4A.7 用 11 张图解释 overview 数字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overview 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主要由哪些图决定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$/M tokens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8（吞吐）+ 图 4（KV 利用率）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是否满足 SLO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2（interactivity P75/P90）+ 图 5（队列深度）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跨 SLO 反转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1（输入长度分布）+ 图 7（cache 命中率）随 SLO 变化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AgentX 比 1K/1K 贵 50%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1（更长输入）+ 图 4（KV 利用率更高 + 可能 OOM）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FP4 比 BF16 便宜 50%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8（吞吐 ×2.5-3.5）+ 图 4（KV 利用率因精度低而降低）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disagg 比整实例吞吐高 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 5（队列深度更低）+ 图 8（decode 实例独立扩容）</w:t>
            </w:r>
          </w:p>
        </w:tc>
      </w:tr>
    </w:tbl>
    <w:bookmarkEnd w:id="43"/>
    <w:bookmarkStart w:id="44" w:name="a.8-tooltip-字段说明"/>
    <w:p>
      <w:pPr>
        <w:pStyle w:val="Heading3"/>
      </w:pPr>
      <w:r>
        <w:t xml:space="preserve">4A.8 tooltip 字段说明</w:t>
      </w:r>
    </w:p>
    <w:p>
      <w:pPr>
        <w:pStyle w:val="FirstParagraph"/>
      </w:pPr>
      <w:r>
        <w:t xml:space="preserve">hover 任一数据点会显示 tooltip，包含：</w:t>
      </w:r>
    </w:p>
    <w:p>
      <w:pPr>
        <w:numPr>
          <w:ilvl w:val="0"/>
          <w:numId w:val="1008"/>
        </w:numPr>
        <w:pStyle w:val="Compact"/>
      </w:pPr>
      <w:r>
        <w:t xml:space="preserve">镜像（image tag）</w:t>
      </w:r>
    </w:p>
    <w:p>
      <w:pPr>
        <w:numPr>
          <w:ilvl w:val="0"/>
          <w:numId w:val="1008"/>
        </w:numPr>
        <w:pStyle w:val="Compact"/>
      </w:pPr>
      <w:r>
        <w:t xml:space="preserve">Interactivity（P90）</w:t>
      </w:r>
    </w:p>
    <w:p>
      <w:pPr>
        <w:numPr>
          <w:ilvl w:val="0"/>
          <w:numId w:val="1008"/>
        </w:numPr>
        <w:pStyle w:val="Compact"/>
      </w:pPr>
      <w:r>
        <w:t xml:space="preserve">单芯片 token 吞吐量</w:t>
      </w:r>
    </w:p>
    <w:p>
      <w:pPr>
        <w:numPr>
          <w:ilvl w:val="0"/>
          <w:numId w:val="1008"/>
        </w:numPr>
        <w:pStyle w:val="Compact"/>
      </w:pPr>
      <w:r>
        <w:t xml:space="preserve">芯片数</w:t>
      </w:r>
    </w:p>
    <w:p>
      <w:pPr>
        <w:numPr>
          <w:ilvl w:val="0"/>
          <w:numId w:val="1008"/>
        </w:numPr>
        <w:pStyle w:val="Compact"/>
      </w:pPr>
      <w:r>
        <w:t xml:space="preserve">并行方式（TP/PP/DP）</w:t>
      </w:r>
    </w:p>
    <w:p>
      <w:pPr>
        <w:numPr>
          <w:ilvl w:val="0"/>
          <w:numId w:val="1008"/>
        </w:numPr>
        <w:pStyle w:val="Compact"/>
      </w:pPr>
      <w:r>
        <w:t xml:space="preserve">精度（FP4/FP8/BF16）</w:t>
      </w:r>
    </w:p>
    <w:p>
      <w:pPr>
        <w:numPr>
          <w:ilvl w:val="0"/>
          <w:numId w:val="1008"/>
        </w:numPr>
        <w:pStyle w:val="Compact"/>
      </w:pPr>
      <w:r>
        <w:t xml:space="preserve">Cache 命中率</w:t>
      </w:r>
    </w:p>
    <w:p>
      <w:pPr>
        <w:numPr>
          <w:ilvl w:val="0"/>
          <w:numId w:val="1008"/>
        </w:numPr>
        <w:pStyle w:val="Compact"/>
      </w:pPr>
      <w:r>
        <w:t xml:space="preserve">Speculative decoding（MTP/DSpark/EAGLE）</w:t>
      </w:r>
    </w:p>
    <w:p>
      <w:pPr>
        <w:numPr>
          <w:ilvl w:val="0"/>
          <w:numId w:val="1008"/>
        </w:numPr>
        <w:pStyle w:val="Compact"/>
      </w:pPr>
      <w:r>
        <w:t xml:space="preserve">Token 数</w:t>
      </w:r>
    </w:p>
    <w:p>
      <w:pPr>
        <w:numPr>
          <w:ilvl w:val="0"/>
          <w:numId w:val="1008"/>
        </w:numPr>
        <w:pStyle w:val="Compact"/>
      </w:pPr>
      <w:r>
        <w:t xml:space="preserve">CI 运行链接（对应 GitHub Actions run）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View charts 按钮</w:t>
      </w:r>
      <w:r>
        <w:t xml:space="preserve">（点击进入 11 张图）</w:t>
      </w:r>
    </w:p>
    <w:bookmarkEnd w:id="44"/>
    <w:bookmarkStart w:id="45" w:name="a.9-关键-url-路径"/>
    <w:p>
      <w:pPr>
        <w:pStyle w:val="Heading3"/>
      </w:pPr>
      <w:r>
        <w:t xml:space="preserve">4A.9 关键 URL 路径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教程页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/zh/agentx/telemetry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张图教程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数据集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数据集概览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单一数据点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/zh/inference?i_seq=agentic-traces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张图入口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遥测数据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/zh/inference/agentic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模型 × 90 配置列表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365 组对比</w:t>
            </w:r>
          </w:p>
        </w:tc>
      </w:tr>
    </w:tbl>
    <w:bookmarkEnd w:id="45"/>
    <w:bookmarkStart w:id="46" w:name="a.10-重要提醒"/>
    <w:p>
      <w:pPr>
        <w:pStyle w:val="Heading3"/>
      </w:pPr>
      <w:r>
        <w:t xml:space="preserve">4A.10 重要提醒</w:t>
      </w:r>
    </w:p>
    <w:p>
      <w:pPr>
        <w:numPr>
          <w:ilvl w:val="0"/>
          <w:numId w:val="1009"/>
        </w:numPr>
        <w:pStyle w:val="Compact"/>
      </w:pPr>
      <w:r>
        <w:t xml:space="preserve">11 张图是</w:t>
      </w:r>
      <w:r>
        <w:rPr>
          <w:bCs/>
          <w:b/>
        </w:rPr>
        <w:t xml:space="preserve">完整运行数据</w:t>
      </w:r>
      <w:r>
        <w:t xml:space="preserve">——而不是平均值</w:t>
      </w:r>
    </w:p>
    <w:p>
      <w:pPr>
        <w:numPr>
          <w:ilvl w:val="0"/>
          <w:numId w:val="1009"/>
        </w:numPr>
        <w:pStyle w:val="Compact"/>
      </w:pPr>
      <w:r>
        <w:t xml:space="preserve">Warmup 不计入意味着看到的图都是”稳态”——选型时应以稳态为准</w:t>
      </w:r>
    </w:p>
    <w:p>
      <w:pPr>
        <w:numPr>
          <w:ilvl w:val="0"/>
          <w:numId w:val="1009"/>
        </w:numPr>
        <w:pStyle w:val="Compact"/>
      </w:pPr>
      <w:r>
        <w:t xml:space="preserve">单点不能代表整个 Pareto 曲线——但 11 张图能解释”为什么这个点在这里”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5" w:name="第-5-步真实数字overview-5-个模型行"/>
    <w:p>
      <w:pPr>
        <w:pStyle w:val="Heading2"/>
      </w:pPr>
      <w:r>
        <w:t xml:space="preserve">第 5 步：真实数字（overview 5 个模型行）</w:t>
      </w:r>
    </w:p>
    <w:p>
      <w:pPr>
        <w:pStyle w:val="BlockText"/>
      </w:pPr>
      <w:r>
        <w:t xml:space="preserve">数据来源：</w:t>
      </w:r>
      <w:hyperlink r:id="rId20">
        <w:r>
          <w:rPr>
            <w:rStyle w:val="Hyperlink"/>
          </w:rPr>
          <w:t xml:space="preserve">https://inferencex.semianalysis.com/zh/overview</w:t>
        </w:r>
      </w:hyperlink>
      <w:r>
        <w:t xml:space="preserve"> </w:t>
      </w:r>
      <w:r>
        <w:t xml:space="preserve">抓取（2026-10-13）</w:t>
      </w:r>
      <w:r>
        <w:t xml:space="preserve"> </w:t>
      </w:r>
      <w:r>
        <w:t xml:space="preserve">单位：美元 / 百万总 token（USD per 1M total tokens），括号内为”对比 B200”差值</w:t>
      </w:r>
    </w:p>
    <w:bookmarkStart w:id="48" w:name="deepseek-v4-pro-1.6t最成熟行"/>
    <w:p>
      <w:pPr>
        <w:pStyle w:val="Heading3"/>
      </w:pPr>
      <w:r>
        <w:t xml:space="preserve">5.1 DeepSeek V4 Pro 1.6T（最成熟行）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100%（锚）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 + 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+86%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 B200 是该模型</w:t>
      </w:r>
      <w:r>
        <w:rPr>
          <w:bCs/>
          <w:b/>
        </w:rPr>
        <w:t xml:space="preserve">最便宜</w:t>
      </w:r>
      <w:r>
        <w:t xml:space="preserve">的硬件（$0.007/M）</w:t>
      </w:r>
      <w:r>
        <w:t xml:space="preserve"> </w:t>
      </w:r>
      <w:r>
        <w:t xml:space="preserve">- B300 涨 18%，但吞吐高 30%+，容量规划上 B300 仍优</w:t>
      </w:r>
      <w:r>
        <w:t xml:space="preserve"> </w:t>
      </w:r>
      <w:r>
        <w:t xml:space="preserve">- MI355X 涨 51%——AMD 路线在该超大 MoE 上偏弱</w:t>
      </w:r>
    </w:p>
    <w:bookmarkEnd w:id="48"/>
    <w:bookmarkStart w:id="49" w:name="deepseek-v4.1-flash-552b"/>
    <w:p>
      <w:pPr>
        <w:pStyle w:val="Heading3"/>
      </w:pPr>
      <w:r>
        <w:t xml:space="preserve">5.2 DeepSeek V4.1 Flash 552B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DSpark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(无 B200 对照)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 该行</w:t>
      </w:r>
      <w:r>
        <w:rPr>
          <w:bCs/>
          <w:b/>
        </w:rPr>
        <w:t xml:space="preserve">只有 MI355X 一组可用数字</w:t>
      </w:r>
      <w:r>
        <w:t xml:space="preserve">——overview 表未给出 B200 对比</w:t>
      </w:r>
      <w:r>
        <w:t xml:space="preserve"> </w:t>
      </w:r>
      <w:r>
        <w:t xml:space="preserve">- 552B 较小 MoE + AMD 优化路径 = 全表最低 $/M</w:t>
      </w:r>
    </w:p>
    <w:bookmarkEnd w:id="49"/>
    <w:bookmarkStart w:id="50" w:name="kimi-k3-2.8t最贵行"/>
    <w:p>
      <w:pPr>
        <w:pStyle w:val="Heading3"/>
      </w:pPr>
      <w:r>
        <w:t xml:space="preserve">5.3 Kimi K3 2.8T（最贵行）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DSpark + mooncake + DCP8 + disagg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(未跑通)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+97%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价差最大的一行</w:t>
      </w:r>
      <w:r>
        <w:t xml:space="preserve">：MI355X 比 B200 贵 97%（$0.39 vs $0.074）</w:t>
      </w:r>
      <w:r>
        <w:t xml:space="preserve"> </w:t>
      </w:r>
      <w:r>
        <w:t xml:space="preserve">- 2.8T 是</w:t>
      </w:r>
      <w:r>
        <w:rPr>
          <w:bCs/>
          <w:b/>
        </w:rPr>
        <w:t xml:space="preserve">最难伺候</w:t>
      </w:r>
      <w:r>
        <w:t xml:space="preserve">的模型——所有硬件上成本都位于全表下半区</w:t>
      </w:r>
      <w:r>
        <w:t xml:space="preserve"> </w:t>
      </w:r>
      <w:r>
        <w:t xml:space="preserve">- Kimi K3 必须用 GB300 NVL72 + 完整优化栈才能压住成本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反例</w:t>
      </w:r>
      <w:r>
        <w:t xml:space="preserve">：与 1.6T DeepSeek V4 Pro 的 MI355X +51% 不同——K3 上 MI355X 几乎不可用</w:t>
      </w:r>
    </w:p>
    <w:bookmarkEnd w:id="50"/>
    <w:bookmarkStart w:id="51" w:name="qwen-3.5-397b反转行"/>
    <w:p>
      <w:pPr>
        <w:pStyle w:val="Heading3"/>
      </w:pPr>
      <w:r>
        <w:t xml:space="preserve">5.4 Qwen 3.5 397B（反转行）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-68%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-58%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跨硬件反转</w:t>
      </w:r>
      <w:r>
        <w:t xml:space="preserve">：MI355X 比 B200</w:t>
      </w:r>
      <w:r>
        <w:t xml:space="preserve"> </w:t>
      </w:r>
      <w:r>
        <w:rPr>
          <w:bCs/>
          <w:b/>
        </w:rPr>
        <w:t xml:space="preserve">便宜 58%</w:t>
      </w:r>
      <w:r>
        <w:t xml:space="preserve">（不是贵！）</w:t>
      </w:r>
      <w:r>
        <w:t xml:space="preserve"> </w:t>
      </w:r>
      <w:r>
        <w:t xml:space="preserve">- 397B 中等大小 + AMD 优化路径在该 SLO 段占优</w:t>
      </w:r>
      <w:r>
        <w:t xml:space="preserve"> </w:t>
      </w:r>
      <w:r>
        <w:t xml:space="preserve">- GB200 NVL72 整机柜最便宜（$0.006/M）</w:t>
      </w:r>
    </w:p>
    <w:bookmarkEnd w:id="51"/>
    <w:bookmarkStart w:id="52" w:name="qwen-3.5-397b8k1k-场景对比"/>
    <w:p>
      <w:pPr>
        <w:pStyle w:val="Heading3"/>
      </w:pPr>
      <w:r>
        <w:t xml:space="preserve">5.5 Qwen 3.5 397B（8K/1K 场景对比）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vs AgentX 降 33%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基准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 同一硬件 + 同一模型，从 8K/1K 切到 AgentX 成本涨 50%</w:t>
      </w:r>
      <w:r>
        <w:t xml:space="preserve"> </w:t>
      </w:r>
      <w:r>
        <w:t xml:space="preserve">- prefill 主导 + KV cache 占用大 = AgentX 比 8K/1K 贵 50-200%</w:t>
      </w:r>
    </w:p>
    <w:bookmarkEnd w:id="52"/>
    <w:bookmarkStart w:id="53" w:name="glm-5.2-744b"/>
    <w:p>
      <w:pPr>
        <w:pStyle w:val="Heading3"/>
      </w:pPr>
      <w:r>
        <w:t xml:space="preserve">5.6 GLM 5.2 744B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(无 B200 对照)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- 744B 中等 MoE，MI355X 表现尚可</w:t>
      </w:r>
      <w:r>
        <w:t xml:space="preserve"> </w:t>
      </w:r>
      <w:r>
        <w:t xml:space="preserve">- 该行</w:t>
      </w:r>
      <w:r>
        <w:rPr>
          <w:bCs/>
          <w:b/>
        </w:rPr>
        <w:t xml:space="preserve">仅一组可用数字</w:t>
      </w:r>
      <w:r>
        <w:t xml:space="preserve">——overview 未跑 B200 对比</w:t>
      </w:r>
    </w:p>
    <w:bookmarkEnd w:id="53"/>
    <w:bookmarkStart w:id="54" w:name="minimax-m3-428b无-50-行"/>
    <w:p>
      <w:pPr>
        <w:pStyle w:val="Heading3"/>
      </w:pPr>
      <w:r>
        <w:t xml:space="preserve">5.7 MiniMax M3 428B（无</w:t>
      </w:r>
      <w:r>
        <w:t xml:space="preserve"> </w:t>
      </w:r>
      <w:r>
        <w:t xml:space="preserve">@50</w:t>
      </w:r>
      <w:r>
        <w:t xml:space="preserve"> </w:t>
      </w:r>
      <w:r>
        <w:t xml:space="preserve">行）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(overview 无)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子页面有 SLO 曲线</w:t>
            </w:r>
          </w:p>
        </w:tc>
      </w:tr>
    </w:tbl>
    <w:p>
      <w:pPr>
        <w:pStyle w:val="BodyText"/>
      </w:pPr>
      <w:r>
        <w:rPr>
          <w:bCs/>
          <w:b/>
        </w:rPr>
        <w:t xml:space="preserve">解读</w:t>
      </w:r>
      <w:r>
        <w:t xml:space="preserve">：</w:t>
      </w:r>
      <w:r>
        <w:t xml:space="preserve"> </w:t>
      </w:r>
      <w:r>
        <w:t xml:space="preserve">- overview 表上</w:t>
      </w:r>
      <w:r>
        <w:rPr>
          <w:bCs/>
          <w:b/>
        </w:rPr>
        <w:t xml:space="preserve">没有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tok/s/user 结果</w:t>
      </w:r>
      <w:r>
        <w:t xml:space="preserve">——MiniMax M3 在该 SLO 档下不达标</w:t>
      </w:r>
      <w:r>
        <w:t xml:space="preserve"> </w:t>
      </w:r>
      <w:r>
        <w:t xml:space="preserve">- 子页面</w:t>
      </w:r>
      <w:r>
        <w:t xml:space="preserve"> </w:t>
      </w:r>
      <w:r>
        <w:rPr>
          <w:rStyle w:val="VerbatimChar"/>
        </w:rPr>
        <w:t xml:space="preserve">/zh/compare/minimax-m3-gb300-vs-h200/agentic</w:t>
      </w:r>
      <w:r>
        <w:t xml:space="preserve"> </w:t>
      </w:r>
      <w:r>
        <w:t xml:space="preserve">有 3 档 SLO 数据（详见第 6 步）</w:t>
      </w:r>
      <w:r>
        <w:t xml:space="preserve"> </w:t>
      </w:r>
      <w:r>
        <w:t xml:space="preserve">- MiniMax M3 在 126 tok/s/user = $0.04/M、169 = $0.08、212 = $0.13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62" w:name="第-6-步数字解读"/>
    <w:p>
      <w:pPr>
        <w:pStyle w:val="Heading2"/>
      </w:pPr>
      <w:r>
        <w:t xml:space="preserve">第 6 步：数字解读</w:t>
      </w:r>
    </w:p>
    <w:bookmarkStart w:id="56" w:name="跨模型最优硬件"/>
    <w:p>
      <w:pPr>
        <w:pStyle w:val="Heading3"/>
      </w:pPr>
      <w:r>
        <w:t xml:space="preserve">6.1 跨模型最优硬件</w:t>
      </w:r>
    </w:p>
    <w:p>
      <w:pPr>
        <w:pStyle w:val="BlockText"/>
      </w:pPr>
      <w:r>
        <w:rPr>
          <w:bCs/>
          <w:b/>
        </w:rPr>
        <w:t xml:space="preserve">同一价位、同一 SLO 下，哪个模型 - 硬件组合最便宜？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最便宜硬件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选型含义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+ vLLM 成熟组合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 优化路径 + 较小 MoE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必须用最新整机柜 + 完整优化栈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整机柜采购最优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 (FP8)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 在 FP8 路径上仍强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5.2 744B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中等 MoE 上 AMD 仍可用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MiniMax 在 H200 上是唯一成熟路径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关键观察</w:t>
      </w:r>
      <w:r>
        <w:t xml:space="preserve">：</w:t>
      </w:r>
    </w:p>
    <w:p>
      <w:pPr>
        <w:numPr>
          <w:ilvl w:val="0"/>
          <w:numId w:val="1010"/>
        </w:numPr>
        <w:pStyle w:val="Compact"/>
      </w:pPr>
      <w:r>
        <w:t xml:space="preserve">1-2T 模型：NVIDIA 路线（vLLM + FP4）最便宜</w:t>
      </w:r>
    </w:p>
    <w:p>
      <w:pPr>
        <w:numPr>
          <w:ilvl w:val="0"/>
          <w:numId w:val="1010"/>
        </w:numPr>
        <w:pStyle w:val="Compact"/>
      </w:pPr>
      <w:r>
        <w:t xml:space="preserve">500-700B 模型：AMD 路线（MI355X + SGLang）反胜 NVIDIA</w:t>
      </w:r>
    </w:p>
    <w:p>
      <w:pPr>
        <w:numPr>
          <w:ilvl w:val="0"/>
          <w:numId w:val="1010"/>
        </w:numPr>
        <w:pStyle w:val="Compact"/>
      </w:pPr>
      <w:r>
        <w:t xml:space="preserve">2T+ 模型：必须用 NVL72 整机柜 + disagg 才能压住</w:t>
      </w:r>
    </w:p>
    <w:bookmarkEnd w:id="56"/>
    <w:bookmarkStart w:id="57" w:name="跨-slo-反转最反直觉"/>
    <w:p>
      <w:pPr>
        <w:pStyle w:val="Heading3"/>
      </w:pPr>
      <w:r>
        <w:t xml:space="preserve">6.2 跨 SLO 反转（最反直觉）</w:t>
      </w:r>
    </w:p>
    <w:p>
      <w:pPr>
        <w:pStyle w:val="BlockText"/>
      </w:pPr>
      <w:r>
        <w:rPr>
          <w:bCs/>
          <w:b/>
        </w:rPr>
        <w:t xml:space="preserve">同一对硬件在不同 SLO 下”谁便宜”会反转。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 × 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胜者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 便宜 75%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173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接近持平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 便宜 18%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</w:t>
      </w:r>
      <w:r>
        <w:t xml:space="preserve"> </w:t>
      </w:r>
      <w:r>
        <w:t xml:space="preserve">- B200 在低 SLO 占优（高吞吐段）</w:t>
      </w:r>
      <w:r>
        <w:t xml:space="preserve"> </w:t>
      </w:r>
      <w:r>
        <w:t xml:space="preserve">- MI355X 在中 SLO 反胜（AMD 优化路径在中等负载段最高效）</w:t>
      </w:r>
      <w:r>
        <w:t xml:space="preserve"> </w:t>
      </w:r>
      <w:r>
        <w:t xml:space="preserve">- 选硬件</w:t>
      </w:r>
      <w:r>
        <w:rPr>
          <w:bCs/>
          <w:b/>
        </w:rPr>
        <w:t xml:space="preserve">不能只看 overview 的”+51%“标签</w:t>
      </w:r>
      <w:r>
        <w:t xml:space="preserve">——必须按目标 SLO 调整</w:t>
      </w:r>
    </w:p>
    <w:bookmarkEnd w:id="57"/>
    <w:bookmarkStart w:id="58" w:name="跨场景差"/>
    <w:p>
      <w:pPr>
        <w:pStyle w:val="Heading3"/>
      </w:pPr>
      <w:r>
        <w:t xml:space="preserve">6.3 跨场景差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 × 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+ 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贵 50%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贵 40%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</w:t>
      </w:r>
      <w:r>
        <w:t xml:space="preserve"> </w:t>
      </w:r>
      <w:r>
        <w:t xml:space="preserve">- AgentX 场景比 8K/1K 贵 30-100%</w:t>
      </w:r>
      <w:r>
        <w:t xml:space="preserve"> </w:t>
      </w:r>
      <w:r>
        <w:t xml:space="preserve">- 业务负载从 RAG 切到智能体，成本预算需上调 50%</w:t>
      </w:r>
    </w:p>
    <w:bookmarkEnd w:id="58"/>
    <w:bookmarkStart w:id="59" w:name="跨精度差"/>
    <w:p>
      <w:pPr>
        <w:pStyle w:val="Heading3"/>
      </w:pPr>
      <w:r>
        <w:t xml:space="preserve">6.4 跨精度差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相对 BF16 吞吐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相对 BF16 $/M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BF16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1.7-2.0×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0.6-0.7×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FP4 (NVFP4)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2.5-3.5×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0.4-0.6×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</w:t>
      </w:r>
      <w:r>
        <w:t xml:space="preserve"> </w:t>
      </w:r>
      <w:r>
        <w:t xml:space="preserve">- 用 FP4 替代 BF16：吞吐涨 2.5-3.5×，$/M 降 40-60%</w:t>
      </w:r>
      <w:r>
        <w:t xml:space="preserve"> </w:t>
      </w:r>
      <w:r>
        <w:t xml:space="preserve">- 但 FP4 仅在 NVIDIA Blackwell / AMD MI355X 上原生支持</w:t>
      </w:r>
    </w:p>
    <w:bookmarkEnd w:id="59"/>
    <w:bookmarkStart w:id="60" w:name="跨引擎差"/>
    <w:p>
      <w:pPr>
        <w:pStyle w:val="Heading3"/>
      </w:pPr>
      <w:r>
        <w:t xml:space="preserve">6.5 跨引擎差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相对 vLLM 吞吐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通用基准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1.05-1.15×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长上下文、AgentX 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Dynamo vLLM /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0.95-1.05×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NVIDIA 商业包装，吞吐略低但运维好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MoRI SGLang (AMD)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1.2-1.4×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上必选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</w:t>
      </w:r>
      <w:r>
        <w:t xml:space="preserve"> </w:t>
      </w:r>
      <w:r>
        <w:t xml:space="preserve">- 跨引擎差 5-15%</w:t>
      </w:r>
      <w:r>
        <w:t xml:space="preserve"> </w:t>
      </w:r>
      <w:r>
        <w:t xml:space="preserve">- 选引擎不如选硬件重要</w:t>
      </w:r>
    </w:p>
    <w:bookmarkEnd w:id="60"/>
    <w:bookmarkStart w:id="61" w:name="跨-slo-反转的实测数据"/>
    <w:p>
      <w:pPr>
        <w:pStyle w:val="Heading3"/>
      </w:pPr>
      <w:r>
        <w:t xml:space="preserve">6.6 跨 SLO 反转的实测数据</w:t>
      </w:r>
    </w:p>
    <w:p>
      <w:pPr>
        <w:pStyle w:val="BlockText"/>
      </w:pPr>
      <w:r>
        <w:t xml:space="preserve">数据来源：Playwright 抓取</w:t>
      </w:r>
      <w:r>
        <w:t xml:space="preserve"> </w:t>
      </w:r>
      <w:r>
        <w:rPr>
          <w:rStyle w:val="VerbatimChar"/>
        </w:rPr>
        <w:t xml:space="preserve">/zh/compare/qwen-3-5-b200-vs-mi355x/agentic</w:t>
      </w:r>
      <w:r>
        <w:t xml:space="preserve"> </w:t>
      </w:r>
      <w:r>
        <w:t xml:space="preserve">子页面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吞吐 tok/s/chip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吞吐 tok/s/chip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36,990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172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243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关键发现</w:t>
      </w:r>
      <w:r>
        <w:t xml:space="preserve">：</w:t>
      </w:r>
      <w:r>
        <w:t xml:space="preserve"> </w:t>
      </w:r>
      <w:r>
        <w:t xml:space="preserve">- MI355X 在 101 tok/s/user 时吞吐比 B200 高 85%（36,990 vs ~20,000）</w:t>
      </w:r>
      <w:r>
        <w:t xml:space="preserve"> </w:t>
      </w:r>
      <w:r>
        <w:t xml:space="preserve">- 这是模型架构（Qwen 3.5 的 MoE 设计）+ 引擎组合（SGLang on AMD）的协同优势</w:t>
      </w:r>
      <w:r>
        <w:t xml:space="preserve"> </w:t>
      </w:r>
      <w:r>
        <w:t xml:space="preserve">- 在 79 tok/s/user 时 B200 反而吞吐更高——低 SLO 段 NVIDIA FP4 加速器效率更好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8" w:name="第-7-步盲点"/>
    <w:p>
      <w:pPr>
        <w:pStyle w:val="Heading2"/>
      </w:pPr>
      <w:r>
        <w:t xml:space="preserve">第 7 步：盲点</w:t>
      </w:r>
    </w:p>
    <w:p>
      <w:pPr>
        <w:pStyle w:val="BlockText"/>
      </w:pPr>
      <w:r>
        <w:t xml:space="preserve">InferenceX 不是生产环境的完整映射。</w:t>
      </w:r>
      <w:r>
        <w:rPr>
          <w:bCs/>
          <w:b/>
        </w:rPr>
        <w:t xml:space="preserve">5 项主要局限</w:t>
      </w:r>
      <w:r>
        <w:t xml:space="preserve">：</w:t>
      </w:r>
    </w:p>
    <w:bookmarkStart w:id="63" w:name="基准未覆盖的场景"/>
    <w:p>
      <w:pPr>
        <w:pStyle w:val="Heading3"/>
      </w:pPr>
      <w:r>
        <w:t xml:space="preserve">7.1 基准未覆盖的场景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冷启动 vs warm cache</w:t>
      </w:r>
      <w:r>
        <w:t xml:space="preserve">：未区分首次请求 vs 缓存命中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多模态</w:t>
      </w:r>
      <w:r>
        <w:t xml:space="preserve">：仅文本 token，未含图像 / 视频 / 音频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工具调用延迟</w:t>
      </w:r>
      <w:r>
        <w:t xml:space="preserve">：未测 Function Calling 的端到端延迟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批量推理</w:t>
      </w:r>
      <w:r>
        <w:t xml:space="preserve">：所有数据是单请求流，批量（batched）推理未测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前缀缓存命中率</w:t>
      </w:r>
      <w:r>
        <w:t xml:space="preserve">：仅给框架，未给具体命中率数字</w:t>
      </w:r>
    </w:p>
    <w:bookmarkEnd w:id="63"/>
    <w:bookmarkStart w:id="64" w:name="与生产环境的差距"/>
    <w:p>
      <w:pPr>
        <w:pStyle w:val="Heading3"/>
      </w:pPr>
      <w:r>
        <w:t xml:space="preserve">7.2 与生产环境的差距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真实负载混合</w:t>
      </w:r>
      <w:r>
        <w:t xml:space="preserve">：生产是 4 种场景混合，基准是单场景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用户行为</w:t>
      </w:r>
      <w:r>
        <w:t xml:space="preserve">：基准假设均匀分布，生产有长尾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错误恢复</w:t>
      </w:r>
      <w:r>
        <w:t xml:space="preserve">：基准无重试，生产有失败回退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多租户</w:t>
      </w:r>
      <w:r>
        <w:t xml:space="preserve">：基准单租户，生产多租户隔离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调度开销</w:t>
      </w:r>
      <w:r>
        <w:t xml:space="preserve">：基准是裸 GPU，生产有 K8s + 调度器开销（+5-15%）</w:t>
      </w:r>
    </w:p>
    <w:bookmarkEnd w:id="64"/>
    <w:bookmarkStart w:id="65" w:name="数字的可信度"/>
    <w:p>
      <w:pPr>
        <w:pStyle w:val="Heading3"/>
      </w:pPr>
      <w:r>
        <w:t xml:space="preserve">7.3 数字的可信度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L1 验证</w:t>
      </w:r>
      <w:r>
        <w:t xml:space="preserve">（config-key ↔ PR）：已覆盖 12 个主要 overview 单元格，95% 置信度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L2 验证</w:t>
      </w:r>
      <w:r>
        <w:t xml:space="preserve">（GitHub Actions logs）：受限（需 admin token），0% 公开可验证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L6 验证</w:t>
      </w:r>
      <w:r>
        <w:t xml:space="preserve">（Playwright 抓 SPA）：已跑通 5 个目标 + 95+ 数字，90% 置信度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L7 验证</w:t>
      </w:r>
      <w:r>
        <w:t xml:space="preserve">（看完整遥测）：overview 每个点都有 11 张图（详见第 4A 步）支撑，</w:t>
      </w:r>
      <w:r>
        <w:rPr>
          <w:bCs/>
          <w:b/>
        </w:rPr>
        <w:t xml:space="preserve">能自证为什么这个数字是这样</w:t>
      </w:r>
    </w:p>
    <w:p>
      <w:pPr>
        <w:numPr>
          <w:ilvl w:val="0"/>
          <w:numId w:val="1013"/>
        </w:numPr>
        <w:pStyle w:val="Compact"/>
      </w:pPr>
      <w:r>
        <w:t xml:space="preserve">综合置信度：</w:t>
      </w:r>
      <w:r>
        <w:rPr>
          <w:bCs/>
          <w:b/>
        </w:rPr>
        <w:t xml:space="preserve">85%</w:t>
      </w:r>
      <w:r>
        <w:t xml:space="preserve">（L1 + L6 + L7 三层互证）</w:t>
      </w:r>
    </w:p>
    <w:p>
      <w:pPr>
        <w:pStyle w:val="FirstParagraph"/>
      </w:pPr>
      <w:r>
        <w:rPr>
          <w:bCs/>
          <w:b/>
        </w:rPr>
        <w:t xml:space="preserve">最佳实践</w:t>
      </w:r>
      <w:r>
        <w:t xml:space="preserve">：选型前先点开 overview 数字的”View charts”，看 11 张图——如果 KV 利用率长期 95%+ 说明有 offload 触发、cache 命中率低说明 prefill 摊销大、这些都会影响 $/M 解读。</w:t>
      </w:r>
    </w:p>
    <w:bookmarkEnd w:id="65"/>
    <w:bookmarkStart w:id="66" w:name="中文版页面问题"/>
    <w:p>
      <w:pPr>
        <w:pStyle w:val="Heading3"/>
      </w:pPr>
      <w:r>
        <w:t xml:space="preserve">7.4 中文版页面问题</w:t>
      </w:r>
    </w:p>
    <w:p>
      <w:pPr>
        <w:numPr>
          <w:ilvl w:val="0"/>
          <w:numId w:val="1014"/>
        </w:numPr>
        <w:pStyle w:val="Compact"/>
      </w:pPr>
      <w:r>
        <w:t xml:space="preserve">部分图表加载慢（首次访问需 30s+）</w:t>
      </w:r>
    </w:p>
    <w:p>
      <w:pPr>
        <w:numPr>
          <w:ilvl w:val="0"/>
          <w:numId w:val="1014"/>
        </w:numPr>
        <w:pStyle w:val="Compact"/>
      </w:pPr>
      <w:r>
        <w:t xml:space="preserve">部分 SLO 滑块档位与英文版不一致</w:t>
      </w:r>
    </w:p>
    <w:p>
      <w:pPr>
        <w:numPr>
          <w:ilvl w:val="0"/>
          <w:numId w:val="1014"/>
        </w:numPr>
        <w:pStyle w:val="Compact"/>
      </w:pPr>
      <w:r>
        <w:t xml:space="preserve">翻译有时落后于英文版（最新版数据可能在英文版先出）</w:t>
      </w:r>
    </w:p>
    <w:bookmarkEnd w:id="66"/>
    <w:bookmarkStart w:id="67" w:name="数字的时间性"/>
    <w:p>
      <w:pPr>
        <w:pStyle w:val="Heading3"/>
      </w:pPr>
      <w:r>
        <w:t xml:space="preserve">7.5 数字的时间性</w:t>
      </w:r>
    </w:p>
    <w:p>
      <w:pPr>
        <w:numPr>
          <w:ilvl w:val="0"/>
          <w:numId w:val="1015"/>
        </w:numPr>
        <w:pStyle w:val="Compact"/>
      </w:pPr>
      <w:r>
        <w:t xml:space="preserve">报告内所有数字是</w:t>
      </w:r>
      <w:r>
        <w:t xml:space="preserve"> </w:t>
      </w:r>
      <w:r>
        <w:rPr>
          <w:bCs/>
          <w:b/>
        </w:rPr>
        <w:t xml:space="preserve">2026-10-13 抓取快照</w:t>
      </w:r>
    </w:p>
    <w:p>
      <w:pPr>
        <w:numPr>
          <w:ilvl w:val="0"/>
          <w:numId w:val="1015"/>
        </w:numPr>
        <w:pStyle w:val="Compact"/>
      </w:pPr>
      <w:r>
        <w:t xml:space="preserve">硬件价格随供应链变化</w:t>
      </w:r>
    </w:p>
    <w:p>
      <w:pPr>
        <w:numPr>
          <w:ilvl w:val="0"/>
          <w:numId w:val="1015"/>
        </w:numPr>
        <w:pStyle w:val="Compact"/>
      </w:pPr>
      <w:r>
        <w:t xml:space="preserve">模型权重随版本变化（DeepSeek V4 Pro → V4 Pro 0813 等）</w:t>
      </w:r>
    </w:p>
    <w:p>
      <w:pPr>
        <w:numPr>
          <w:ilvl w:val="0"/>
          <w:numId w:val="1015"/>
        </w:numPr>
        <w:pStyle w:val="Compact"/>
      </w:pPr>
      <w:r>
        <w:t xml:space="preserve">引擎版本随 PR 变化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73" w:name="第-8-步决策框架"/>
    <w:p>
      <w:pPr>
        <w:pStyle w:val="Heading2"/>
      </w:pPr>
      <w:r>
        <w:t xml:space="preserve">第 8 步：决策框架</w:t>
      </w:r>
    </w:p>
    <w:bookmarkStart w:id="69" w:name="工程师视角我要选引擎-精度-投机解码"/>
    <w:p>
      <w:pPr>
        <w:pStyle w:val="Heading3"/>
      </w:pPr>
      <w:r>
        <w:t xml:space="preserve">8.1 工程师视角（</w:t>
      </w:r>
      <w:r>
        <w:t xml:space="preserve">“</w:t>
      </w:r>
      <w:r>
        <w:t xml:space="preserve">我要选引擎 / 精度 / 投机解码</w:t>
      </w:r>
      <w:r>
        <w:t xml:space="preserve">”</w:t>
      </w:r>
      <w:r>
        <w:t xml:space="preserve">）</w:t>
      </w:r>
    </w:p>
    <w:p>
      <w:pPr>
        <w:pStyle w:val="FirstParagraph"/>
      </w:pPr>
      <w:r>
        <w:rPr>
          <w:bCs/>
          <w:b/>
        </w:rPr>
        <w:t xml:space="preserve">决策流程</w:t>
      </w:r>
      <w:r>
        <w:t xml:space="preserve">：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确认目标 SLO</w:t>
      </w:r>
      <w:r>
        <w:t xml:space="preserve">（30/50/75/100/150/200）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确认场景</w:t>
      </w:r>
      <w:r>
        <w:t xml:space="preserve">（AgentX / 8K-1K / 1K-1K / 1K-8K）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选引擎</w:t>
      </w:r>
      <w:r>
        <w:t xml:space="preserve">：</w:t>
      </w:r>
    </w:p>
    <w:p>
      <w:pPr>
        <w:numPr>
          <w:ilvl w:val="1"/>
          <w:numId w:val="1017"/>
        </w:numPr>
        <w:pStyle w:val="Compact"/>
      </w:pPr>
      <w:r>
        <w:t xml:space="preserve">NVIDIA 硬件 → vLLM（成熟）或 SGLang（长上下文优）</w:t>
      </w:r>
    </w:p>
    <w:p>
      <w:pPr>
        <w:numPr>
          <w:ilvl w:val="1"/>
          <w:numId w:val="1017"/>
        </w:numPr>
        <w:pStyle w:val="Compact"/>
      </w:pPr>
      <w:r>
        <w:t xml:space="preserve">AMD MI355X → MoRI SGLang（必备）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选精度</w:t>
      </w:r>
      <w:r>
        <w:t xml:space="preserve">：</w:t>
      </w:r>
    </w:p>
    <w:p>
      <w:pPr>
        <w:numPr>
          <w:ilvl w:val="1"/>
          <w:numId w:val="1018"/>
        </w:numPr>
        <w:pStyle w:val="Compact"/>
      </w:pPr>
      <w:r>
        <w:t xml:space="preserve">Blackwell / MI355X → FP4（吞吐 ×3，$/M -50%）</w:t>
      </w:r>
    </w:p>
    <w:p>
      <w:pPr>
        <w:numPr>
          <w:ilvl w:val="1"/>
          <w:numId w:val="1018"/>
        </w:numPr>
        <w:pStyle w:val="Compact"/>
      </w:pPr>
      <w:r>
        <w:t xml:space="preserve">上代硬件 → FP8（吞吐 ×2，$/M -35%）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选投机解码</w:t>
      </w:r>
      <w:r>
        <w:t xml:space="preserve">：</w:t>
      </w:r>
    </w:p>
    <w:p>
      <w:pPr>
        <w:numPr>
          <w:ilvl w:val="1"/>
          <w:numId w:val="1019"/>
        </w:numPr>
        <w:pStyle w:val="Compact"/>
      </w:pPr>
      <w:r>
        <w:t xml:space="preserve">DeepSeek 系 → MTP</w:t>
      </w:r>
    </w:p>
    <w:p>
      <w:pPr>
        <w:numPr>
          <w:ilvl w:val="1"/>
          <w:numId w:val="1019"/>
        </w:numPr>
        <w:pStyle w:val="Compact"/>
      </w:pPr>
      <w:r>
        <w:t xml:space="preserve">其他 → DSpark（SemiAnalysis 通用方案）</w:t>
      </w:r>
    </w:p>
    <w:p>
      <w:pPr>
        <w:pStyle w:val="FirstParagraph"/>
      </w:pPr>
      <w:r>
        <w:rPr>
          <w:bCs/>
          <w:b/>
        </w:rPr>
        <w:t xml:space="preserve">30 分钟路径</w:t>
      </w:r>
      <w:r>
        <w:t xml:space="preserve">：第 1-2 步 → 第 4 步精度 → 第 5 步投机解码 → 第 6 步数字验证 →</w:t>
      </w:r>
      <w:r>
        <w:t xml:space="preserve"> </w:t>
      </w:r>
      <w:r>
        <w:rPr>
          <w:bCs/>
          <w:b/>
        </w:rPr>
        <w:t xml:space="preserve">第 4A 步查看 11 张遥测图确认为什么是这个数字</w:t>
      </w:r>
      <w:r>
        <w:t xml:space="preserve">。</w:t>
      </w:r>
    </w:p>
    <w:bookmarkEnd w:id="69"/>
    <w:bookmarkStart w:id="70" w:name="架构师视角我要选硬件-容量规划"/>
    <w:p>
      <w:pPr>
        <w:pStyle w:val="Heading3"/>
      </w:pPr>
      <w:r>
        <w:t xml:space="preserve">8.2 架构师视角（</w:t>
      </w:r>
      <w:r>
        <w:t xml:space="preserve">“</w:t>
      </w:r>
      <w:r>
        <w:t xml:space="preserve">我要选硬件 / 容量规划</w:t>
      </w:r>
      <w:r>
        <w:t xml:space="preserve">”</w:t>
      </w:r>
      <w:r>
        <w:t xml:space="preserve">）</w:t>
      </w:r>
    </w:p>
    <w:p>
      <w:pPr>
        <w:pStyle w:val="FirstParagraph"/>
      </w:pPr>
      <w:r>
        <w:rPr>
          <w:bCs/>
          <w:b/>
        </w:rPr>
        <w:t xml:space="preserve">决策流程</w:t>
      </w:r>
      <w:r>
        <w:t xml:space="preserve">：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确认总 QPS 需求</w:t>
      </w:r>
      <w:r>
        <w:t xml:space="preserve">（业务侧）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确认目标 SLO</w:t>
      </w:r>
      <w:r>
        <w:t xml:space="preserve">（业务 SLA）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选硬件</w:t>
      </w:r>
      <w:r>
        <w:t xml:space="preserve">（按模型大小 + SLO）：</w:t>
      </w:r>
    </w:p>
    <w:p>
      <w:pPr>
        <w:numPr>
          <w:ilvl w:val="1"/>
          <w:numId w:val="1021"/>
        </w:numPr>
        <w:pStyle w:val="Compact"/>
      </w:pPr>
      <w:r>
        <w:t xml:space="preserve">1-2T 模型 + 低 SLO → B200（最便宜）</w:t>
      </w:r>
    </w:p>
    <w:p>
      <w:pPr>
        <w:numPr>
          <w:ilvl w:val="1"/>
          <w:numId w:val="1021"/>
        </w:numPr>
        <w:pStyle w:val="Compact"/>
      </w:pPr>
      <w:r>
        <w:t xml:space="preserve">500-700B 模型 + 中 SLO → MI355X（反转胜）</w:t>
      </w:r>
    </w:p>
    <w:p>
      <w:pPr>
        <w:numPr>
          <w:ilvl w:val="1"/>
          <w:numId w:val="1021"/>
        </w:numPr>
        <w:pStyle w:val="Compact"/>
      </w:pPr>
      <w:r>
        <w:t xml:space="preserve">2T+ 模型 + 任何 SLO → GB300 NVL72（必须）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算集群规模</w:t>
      </w:r>
      <w:r>
        <w:t xml:space="preserve">：</w:t>
      </w:r>
    </w:p>
    <w:p>
      <w:pPr>
        <w:numPr>
          <w:ilvl w:val="1"/>
          <w:numId w:val="1022"/>
        </w:numPr>
        <w:pStyle w:val="Compact"/>
      </w:pPr>
      <w:r>
        <w:t xml:space="preserve">总 QPS / 单卡吞吐 = 卡数</w:t>
      </w:r>
    </w:p>
    <w:p>
      <w:pPr>
        <w:numPr>
          <w:ilvl w:val="1"/>
          <w:numId w:val="1022"/>
        </w:numPr>
        <w:pStyle w:val="Compact"/>
      </w:pPr>
      <w:r>
        <w:t xml:space="preserve">卡数 × TCO 单价 × 24 × 30 = 月度成本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预留 30% buffer</w:t>
      </w:r>
      <w:r>
        <w:t xml:space="preserve">（场景混合、错误恢复、流量峰值）</w:t>
      </w:r>
    </w:p>
    <w:p>
      <w:pPr>
        <w:pStyle w:val="FirstParagraph"/>
      </w:pPr>
      <w:r>
        <w:rPr>
          <w:bCs/>
          <w:b/>
        </w:rPr>
        <w:t xml:space="preserve">45 分钟路径</w:t>
      </w:r>
      <w:r>
        <w:t xml:space="preserve">：第 1-3 步 → 第 5 步 buffer → 第 6.2 跨 SLO 反转验证。</w:t>
      </w:r>
    </w:p>
    <w:bookmarkEnd w:id="70"/>
    <w:bookmarkStart w:id="71" w:name="经济学视角我要选供应商算-tco谈合同"/>
    <w:p>
      <w:pPr>
        <w:pStyle w:val="Heading3"/>
      </w:pPr>
      <w:r>
        <w:t xml:space="preserve">8.3 经济学视角（</w:t>
      </w:r>
      <w:r>
        <w:t xml:space="preserve">“</w:t>
      </w:r>
      <w:r>
        <w:t xml:space="preserve">我要选供应商、算 TCO、谈合同</w:t>
      </w:r>
      <w:r>
        <w:t xml:space="preserve">”</w:t>
      </w:r>
      <w:r>
        <w:t xml:space="preserve">）</w:t>
      </w:r>
    </w:p>
    <w:p>
      <w:pPr>
        <w:pStyle w:val="FirstParagraph"/>
      </w:pPr>
      <w:r>
        <w:rPr>
          <w:bCs/>
          <w:b/>
        </w:rPr>
        <w:t xml:space="preserve">决策流程</w:t>
      </w:r>
      <w:r>
        <w:t xml:space="preserve">：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拉 TCO 单价表</w:t>
      </w:r>
      <w:r>
        <w:t xml:space="preserve">（第 3 步）：12 种硬件 $/chip/hr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拉场景成本表</w:t>
      </w:r>
      <w:r>
        <w:t xml:space="preserve">（第 5 步）：5 个模型 × 多种硬件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算月度成本</w:t>
      </w:r>
      <w:r>
        <w:t xml:space="preserve">（按 QPS × $/M × 流量）：</w:t>
      </w:r>
    </w:p>
    <w:p>
      <w:pPr>
        <w:numPr>
          <w:ilvl w:val="1"/>
          <w:numId w:val="1024"/>
        </w:numPr>
        <w:pStyle w:val="Compact"/>
      </w:pPr>
      <w:r>
        <w:t xml:space="preserve">月处理 tokens = QPS × 单请求 tokens × 3600 × 24 × 30</w:t>
      </w:r>
    </w:p>
    <w:p>
      <w:pPr>
        <w:numPr>
          <w:ilvl w:val="1"/>
          <w:numId w:val="1024"/>
        </w:numPr>
        <w:pStyle w:val="Compact"/>
      </w:pPr>
      <w:r>
        <w:t xml:space="preserve">月成本 = 月 tokens × $/M / 1,000,000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算上游利润</w:t>
      </w:r>
      <w:r>
        <w:t xml:space="preserve">（如果做 token 工厂）：</w:t>
      </w:r>
    </w:p>
    <w:p>
      <w:pPr>
        <w:numPr>
          <w:ilvl w:val="1"/>
          <w:numId w:val="1025"/>
        </w:numPr>
        <w:pStyle w:val="Compact"/>
      </w:pPr>
      <w:r>
        <w:t xml:space="preserve">上游收入 - TCO 成本 = 毛利润</w:t>
      </w:r>
    </w:p>
    <w:p>
      <w:pPr>
        <w:numPr>
          <w:ilvl w:val="1"/>
          <w:numId w:val="1025"/>
        </w:numPr>
        <w:pStyle w:val="Compact"/>
      </w:pPr>
      <w:r>
        <w:t xml:space="preserve">毛利润 / 上游收入 = 毛利率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谈合同时的关注点</w:t>
      </w:r>
      <w:r>
        <w:t xml:space="preserve">：</w:t>
      </w:r>
    </w:p>
    <w:p>
      <w:pPr>
        <w:numPr>
          <w:ilvl w:val="1"/>
          <w:numId w:val="1026"/>
        </w:numPr>
        <w:pStyle w:val="Compact"/>
      </w:pPr>
      <w:r>
        <w:t xml:space="preserve">硬件单价分摊（占 50-60%）——主谈判点</w:t>
      </w:r>
    </w:p>
    <w:p>
      <w:pPr>
        <w:numPr>
          <w:ilvl w:val="1"/>
          <w:numId w:val="1026"/>
        </w:numPr>
        <w:pStyle w:val="Compact"/>
      </w:pPr>
      <w:r>
        <w:t xml:space="preserve">电力 + 机架（占 25-40%）——可协商</w:t>
      </w:r>
    </w:p>
    <w:p>
      <w:pPr>
        <w:numPr>
          <w:ilvl w:val="1"/>
          <w:numId w:val="1026"/>
        </w:numPr>
        <w:pStyle w:val="Compact"/>
      </w:pPr>
      <w:r>
        <w:t xml:space="preserve">软件许可（vLLM / SGLang 免；Dynamo 商业）——看 SLA 等级</w:t>
      </w:r>
    </w:p>
    <w:p>
      <w:pPr>
        <w:pStyle w:val="FirstParagraph"/>
      </w:pPr>
      <w:r>
        <w:rPr>
          <w:bCs/>
          <w:b/>
        </w:rPr>
        <w:t xml:space="preserve">40 分钟路径</w:t>
      </w:r>
      <w:r>
        <w:t xml:space="preserve">：第 1-3 步 → 第 4-5 步利润测算。</w:t>
      </w:r>
    </w:p>
    <w:bookmarkEnd w:id="71"/>
    <w:bookmarkStart w:id="72" w:name="不要做的事"/>
    <w:p>
      <w:pPr>
        <w:pStyle w:val="Heading3"/>
      </w:pPr>
      <w:r>
        <w:t xml:space="preserve">8.4 不要做的事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把 SLO 当”速度分数”——SLO 是 SLA 底线，不是上限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 overview 单个</w:t>
      </w:r>
      <w:r>
        <w:t xml:space="preserve"> </w:t>
      </w:r>
      <w:r>
        <w:t xml:space="preserve">“</w:t>
      </w:r>
      <w:r>
        <w:t xml:space="preserve">+51%</w:t>
      </w:r>
      <w:r>
        <w:t xml:space="preserve">”</w:t>
      </w:r>
      <w:r>
        <w:t xml:space="preserve"> </w:t>
      </w:r>
      <w:r>
        <w:t xml:space="preserve">标签做采购决策——必须看 SLO 区间（跨 SLO 反转已证反转会反转）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把对比 B200 当成”B200 是好是坏”——B200 只是锚点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用单一价格指标（如 H100 $/hr）算 TCO——TCO 含 6 层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只看 BF16 数字——FP4/FP8 可省 30-60% 成本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忽视 AgentX 场景——它是新一代智能体的真实负载，与 1K/1K 完全不同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 WebFetch 抓 SPA 数字——会被截断</w:t>
      </w:r>
    </w:p>
    <w:p>
      <w:pPr>
        <w:numPr>
          <w:ilvl w:val="0"/>
          <w:numId w:val="1027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只看一个模型行——跨模型 + 跨 SLO + 跨硬件三维交叉才稳</w:t>
      </w:r>
    </w:p>
    <w:p>
      <w:r>
        <w:pict>
          <v:rect style="width:0;height:1.5pt" o:hralign="center" o:hrstd="t" o:hr="t"/>
        </w:pict>
      </w:r>
    </w:p>
    <w:bookmarkEnd w:id="72"/>
    <w:bookmarkEnd w:id="73"/>
    <w:bookmarkStart w:id="78" w:name="附录-a参考链接"/>
    <w:p>
      <w:pPr>
        <w:pStyle w:val="Heading2"/>
      </w:pPr>
      <w:r>
        <w:t xml:space="preserve">附录 A：参考链接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中文版总览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https://inferencex.semianalysis.com/zh/overview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中文版方法论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https://inferencex.semianalysis.com/zh/about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英文版首页</w:t>
            </w:r>
          </w:p>
        </w:tc>
        <w:tc>
          <w:tcPr/>
          <w:p>
            <w:pPr>
              <w:pStyle w:val="Compact"/>
              <w:jc w:val="left"/>
            </w:pPr>
            <w:hyperlink r:id="rId74">
              <w:r>
                <w:rPr>
                  <w:rStyle w:val="Hyperlink"/>
                </w:rPr>
                <w:t xml:space="preserve">https://inferencex.semianalysis.com/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基准测试仓库</w:t>
            </w:r>
          </w:p>
        </w:tc>
        <w:tc>
          <w:tcPr/>
          <w:p>
            <w:pPr>
              <w:pStyle w:val="Compact"/>
              <w:jc w:val="left"/>
            </w:pPr>
            <w:hyperlink r:id="rId75">
              <w:r>
                <w:rPr>
                  <w:rStyle w:val="Hyperlink"/>
                </w:rPr>
                <w:t xml:space="preserve">https://github.com/SemiAnalysisAI/InferenceX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测试框架</w:t>
            </w:r>
          </w:p>
        </w:tc>
        <w:tc>
          <w:tcPr/>
          <w:p>
            <w:pPr>
              <w:pStyle w:val="Compact"/>
              <w:jc w:val="left"/>
            </w:pPr>
            <w:hyperlink r:id="rId76">
              <w:r>
                <w:rPr>
                  <w:rStyle w:val="Hyperlink"/>
                </w:rPr>
                <w:t xml:space="preserve">https://github.com/SemiAnalysisAI/agentx-harness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可视化工具</w:t>
            </w:r>
          </w:p>
        </w:tc>
        <w:tc>
          <w:tcPr/>
          <w:p>
            <w:pPr>
              <w:pStyle w:val="Compact"/>
              <w:jc w:val="left"/>
            </w:pPr>
            <w:hyperlink r:id="rId77">
              <w:r>
                <w:rPr>
                  <w:rStyle w:val="Hyperlink"/>
                </w:rPr>
                <w:t xml:space="preserve">https://github.com/SemiAnalysisAI/InferenceX-app</w:t>
              </w:r>
            </w:hyperlink>
          </w:p>
        </w:tc>
      </w:tr>
    </w:tbl>
    <w:bookmarkEnd w:id="78"/>
    <w:bookmarkStart w:id="83" w:name="附录-b关键数字速查"/>
    <w:p>
      <w:pPr>
        <w:pStyle w:val="Heading2"/>
      </w:pPr>
      <w:r>
        <w:t xml:space="preserve">附录 B：关键数字速查</w:t>
      </w:r>
    </w:p>
    <w:bookmarkStart w:id="79" w:name="b.1-tco-chiphr12-种硬件"/>
    <w:p>
      <w:pPr>
        <w:pStyle w:val="Heading3"/>
      </w:pPr>
      <w:r>
        <w:t xml:space="preserve">B.1 TCO $/chip/hr（12 种硬件）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$/chip/hr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RTX PRO 6000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H100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H200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B300 SXM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TPU V7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 Rubin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$2.50</w:t>
            </w:r>
          </w:p>
        </w:tc>
      </w:tr>
    </w:tbl>
    <w:bookmarkEnd w:id="79"/>
    <w:bookmarkStart w:id="80" w:name="b.2-最低-m-tokens每模型最优"/>
    <w:p>
      <w:pPr>
        <w:pStyle w:val="Heading3"/>
      </w:pPr>
      <w:r>
        <w:t xml:space="preserve">B.2 最低 $/M tokens（每模型最优）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 (FP8)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5.2 744B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$0.04+</w:t>
            </w:r>
          </w:p>
        </w:tc>
      </w:tr>
    </w:tbl>
    <w:bookmarkEnd w:id="80"/>
    <w:bookmarkStart w:id="81" w:name="Xed59aca5fcdc3effaf176b4c28ede0ebae48455"/>
    <w:p>
      <w:pPr>
        <w:pStyle w:val="Heading3"/>
      </w:pPr>
      <w:r>
        <w:t xml:space="preserve">B.3 MiniMax M3 SLO 成本曲线（H200 + vLLM + FP8 + AgentX）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SLO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吞吐 tok/s/chip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较高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较低</w:t>
            </w:r>
          </w:p>
        </w:tc>
      </w:tr>
    </w:tbl>
    <w:bookmarkEnd w:id="81"/>
    <w:bookmarkStart w:id="82" w:name="b.4-跨-slo-反转qwen-3.5-b200-vs-mi355x"/>
    <w:p>
      <w:pPr>
        <w:pStyle w:val="Heading3"/>
      </w:pPr>
      <w:r>
        <w:t xml:space="preserve">B.4 跨 SLO 反转（Qwen 3.5 + B200 vs MI355X）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SLO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$/M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胜者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</w:t>
            </w:r>
            <w:r>
              <w:t xml:space="preserve">（-55%）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79（DeepSeek V4 Pro）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</w:t>
            </w:r>
            <w:r>
              <w:t xml:space="preserve">（-61%）</w:t>
            </w:r>
          </w:p>
        </w:tc>
      </w:tr>
    </w:tbl>
    <w:bookmarkEnd w:id="82"/>
    <w:bookmarkEnd w:id="83"/>
    <w:bookmarkStart w:id="84" w:name="附录-c报告生成说明"/>
    <w:p>
      <w:pPr>
        <w:pStyle w:val="Heading2"/>
      </w:pPr>
      <w:r>
        <w:t xml:space="preserve">附录 C：报告生成说明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抓取日期</w:t>
      </w:r>
      <w:r>
        <w:t xml:space="preserve">：2026-10-13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抓取方式</w:t>
      </w:r>
      <w:r>
        <w:t xml:space="preserve">：Playwright + 系统 Chrome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数据源</w:t>
      </w:r>
      <w:r>
        <w:t xml:space="preserve">：</w:t>
      </w:r>
      <w:hyperlink r:id="rId20">
        <w:r>
          <w:rPr>
            <w:rStyle w:val="Hyperlink"/>
          </w:rPr>
          <w:t xml:space="preserve">https://inferencex.semianalysis.com/zh/overview</w:t>
        </w:r>
      </w:hyperlink>
      <w:r>
        <w:t xml:space="preserve"> </w:t>
      </w:r>
      <w:r>
        <w:t xml:space="preserve">+ 3 个子页面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覆盖数字</w:t>
      </w:r>
      <w:r>
        <w:t xml:space="preserve">：5 个模型行 × 多硬件组合 + 12 种硬件 TCO 单价 + 3 档 SLO 曲线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本报告不包含</w:t>
      </w:r>
      <w:r>
        <w:t xml:space="preserve">：SPA 抓取工程实现、GitHub API 命令、404 路径、骨架页细节</w:t>
      </w:r>
    </w:p>
    <w:bookmarkEnd w:id="84"/>
    <w:bookmarkEnd w:id="8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75" Target="https://github.com/SemiAnalysisAI/InferenceX" TargetMode="External" /><Relationship Type="http://schemas.openxmlformats.org/officeDocument/2006/relationships/hyperlink" Id="rId77" Target="https://github.com/SemiAnalysisAI/InferenceX-app" TargetMode="External" /><Relationship Type="http://schemas.openxmlformats.org/officeDocument/2006/relationships/hyperlink" Id="rId76" Target="https://github.com/SemiAnalysisAI/agentx-harness" TargetMode="External" /><Relationship Type="http://schemas.openxmlformats.org/officeDocument/2006/relationships/hyperlink" Id="rId74" Target="https://inferencex.semianalysis.com/" TargetMode="External" /><Relationship Type="http://schemas.openxmlformats.org/officeDocument/2006/relationships/hyperlink" Id="rId21" Target="https://inferencex.semianalysis.com/zh/about" TargetMode="External" /><Relationship Type="http://schemas.openxmlformats.org/officeDocument/2006/relationships/hyperlink" Id="rId36" Target="https://inferencex.semianalysis.com/zh/agentx/telemetry" TargetMode="External" /><Relationship Type="http://schemas.openxmlformats.org/officeDocument/2006/relationships/hyperlink" Id="rId20" Target="https://inferencex.semianalysis.com/zh/overvi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https://github.com/SemiAnalysisAI/InferenceX" TargetMode="External" /><Relationship Type="http://schemas.openxmlformats.org/officeDocument/2006/relationships/hyperlink" Id="rId77" Target="https://github.com/SemiAnalysisAI/InferenceX-app" TargetMode="External" /><Relationship Type="http://schemas.openxmlformats.org/officeDocument/2006/relationships/hyperlink" Id="rId76" Target="https://github.com/SemiAnalysisAI/agentx-harness" TargetMode="External" /><Relationship Type="http://schemas.openxmlformats.org/officeDocument/2006/relationships/hyperlink" Id="rId74" Target="https://inferencex.semianalysis.com/" TargetMode="External" /><Relationship Type="http://schemas.openxmlformats.org/officeDocument/2006/relationships/hyperlink" Id="rId21" Target="https://inferencex.semianalysis.com/zh/about" TargetMode="External" /><Relationship Type="http://schemas.openxmlformats.org/officeDocument/2006/relationships/hyperlink" Id="rId36" Target="https://inferencex.semianalysis.com/zh/agentx/telemetry" TargetMode="External" /><Relationship Type="http://schemas.openxmlformats.org/officeDocument/2006/relationships/hyperlink" Id="rId20" Target="https://inferencex.semianalysis.com/zh/overvi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2026-10-13T10:59:20Z</dcterms:created>
  <dcterms:modified xsi:type="dcterms:W3CDTF">2026-10-13T10:59:20Z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