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AI 使用场景与付费场景研究报告（2026）</w:t>
      </w:r>
    </w:p>
    <w:p>
      <w:pPr>
        <w:ind w:left="454"/>
      </w:pPr>
      <w:r>
        <w:rPr>
          <w:i/>
          <w:sz w:val="20"/>
        </w:rPr>
        <w:t>报告定位：聚焦"哪些场景正在使用 AI"与"哪些场景愿意为 AI 付费"两条主线，分析 2025–2026 年间 AI 在企业与消费者两端渗透节奏的差异。</w:t>
      </w:r>
    </w:p>
    <w:p>
      <w:r>
        <w:rPr>
          <w:b w:val="0"/>
          <w:i w:val="0"/>
        </w:rPr>
        <w:t>&gt;</w:t>
      </w:r>
    </w:p>
    <w:p>
      <w:pPr>
        <w:ind w:left="454"/>
      </w:pPr>
      <w:r>
        <w:rPr>
          <w:i/>
          <w:sz w:val="20"/>
        </w:rPr>
        <w:t>撰写日期：2026-10-10</w:t>
      </w:r>
    </w:p>
    <w:p>
      <w:r>
        <w:rPr>
          <w:b w:val="0"/>
          <w:i w:val="0"/>
        </w:rPr>
        <w:t>&gt;</w:t>
      </w:r>
    </w:p>
    <w:p>
      <w:pPr>
        <w:ind w:left="454"/>
      </w:pPr>
      <w:r>
        <w:rPr>
          <w:i/>
          <w:sz w:val="20"/>
        </w:rPr>
        <w:t>核心数据来源：Stanford HAI《AI Index Report 2026》、Anthropic《Economic Index 2026》、OpenRouter 排行榜（2026-10-05 抓取）、Menlo Ventures《State of AI》系列、Bank of America / PNC 家庭消费面板、a16z/YipitData 等。</w:t>
      </w:r>
    </w:p>
    <w:p>
      <w:r>
        <w:rPr>
          <w:b w:val="0"/>
          <w:i w:val="0"/>
        </w:rPr>
        <w:t>&gt;</w:t>
      </w:r>
    </w:p>
    <w:p>
      <w:pPr>
        <w:ind w:left="454"/>
      </w:pPr>
      <w:r>
        <w:rPr>
          <w:i/>
          <w:sz w:val="20"/>
        </w:rPr>
        <w:t>数据声明：报告优先采用 2026 年权威数据；个别维度仅有 2025 年数据时，明确标注并就近采用。</w:t>
      </w:r>
    </w:p>
    <w:p>
      <w:pPr>
        <w:pStyle w:val="Heading1"/>
      </w:pPr>
      <w:r>
        <w:t>目录</w:t>
      </w:r>
    </w:p>
    <w:p>
      <w:pPr>
        <w:pStyle w:val="ListNumber"/>
      </w:pPr>
      <w:r>
        <w:rPr>
          <w:sz w:val="22"/>
        </w:rPr>
        <w:t>摘要：核心发现</w:t>
      </w:r>
    </w:p>
    <w:p>
      <w:pPr>
        <w:pStyle w:val="ListNumber"/>
      </w:pPr>
      <w:r>
        <w:rPr>
          <w:sz w:val="22"/>
        </w:rPr>
        <w:t>研究背景与方法</w:t>
      </w:r>
    </w:p>
    <w:p>
      <w:pPr>
        <w:pStyle w:val="ListNumber"/>
      </w:pPr>
      <w:r>
        <w:rPr>
          <w:sz w:val="22"/>
        </w:rPr>
        <w:t>AI 使用场景分析</w:t>
      </w:r>
    </w:p>
    <w:p>
      <w:pPr>
        <w:pStyle w:val="ListNumber"/>
      </w:pPr>
      <w:r>
        <w:rPr>
          <w:sz w:val="22"/>
        </w:rPr>
        <w:t>AI 付费场景分析</w:t>
      </w:r>
    </w:p>
    <w:p>
      <w:pPr>
        <w:pStyle w:val="ListNumber"/>
      </w:pPr>
      <w:r>
        <w:rPr>
          <w:sz w:val="22"/>
        </w:rPr>
        <w:t>使用场景与付费场景的对比与差异</w:t>
      </w:r>
    </w:p>
    <w:p>
      <w:pPr>
        <w:pStyle w:val="ListNumber"/>
      </w:pPr>
      <w:r>
        <w:rPr>
          <w:sz w:val="22"/>
        </w:rPr>
        <w:t>趋势洞察与预测</w:t>
      </w:r>
    </w:p>
    <w:p>
      <w:pPr>
        <w:pStyle w:val="ListNumber"/>
      </w:pPr>
      <w:r>
        <w:rPr>
          <w:sz w:val="22"/>
        </w:rPr>
        <w:t>结论与建议</w:t>
      </w:r>
    </w:p>
    <w:p>
      <w:pPr>
        <w:pStyle w:val="ListNumber"/>
      </w:pPr>
      <w:r>
        <w:rPr>
          <w:sz w:val="22"/>
        </w:rPr>
        <w:t>参考资料</w:t>
      </w:r>
    </w:p>
    <w:p>
      <w:pPr>
        <w:pStyle w:val="Heading1"/>
      </w:pPr>
      <w:r>
        <w:t>1. 摘要：核心发现</w:t>
      </w:r>
    </w:p>
    <w:p>
      <w:pPr>
        <w:pStyle w:val="ListNumber"/>
      </w:pPr>
      <w:r>
        <w:rPr>
          <w:sz w:val="22"/>
        </w:rPr>
        <w:t>AI 使用已跨过"主流化"门槛：Stanford HAI《AI Index 2026》显示，2025 年 78% 的组织在至少一个业务环节使用 AI，较上年的 55% 跃升 23 个百分点，为历年最大同比涨幅；生成式 AI 在组织内的渗透率从 33% 翻倍至 60% 以上。</w:t>
      </w:r>
    </w:p>
    <w:p>
      <w:pPr>
        <w:pStyle w:val="ListNumber"/>
      </w:pPr>
      <w:r>
        <w:rPr>
          <w:sz w:val="22"/>
        </w:rPr>
        <w:t>使用集中在四类宏场景：基于 OpenRouter 2026-10-05 的 30 天支出样本，Agent（30.96%）、General（31.21%）、Code（27.88%）、Data（9.96%）四类合占近 100%；其中"Agent: Workflow Execution"单任务占总支出 20.02%，是当前最大的单一用例。</w:t>
      </w:r>
    </w:p>
    <w:p>
      <w:pPr>
        <w:pStyle w:val="ListNumber"/>
      </w:pPr>
      <w:r>
        <w:rPr>
          <w:sz w:val="22"/>
        </w:rPr>
        <w:t>付费仍处于"小基数、快增长"阶段：全球消费者 AI 订阅收入约 120 亿美元（2025 全年），但仅约 3% 的全球 AI 用户为高级订阅付费；美国 25–34 岁年龄段付费率最高（约 27%），55 岁以上人群中 81% 不愿额外付费。</w:t>
      </w:r>
    </w:p>
    <w:p>
      <w:pPr>
        <w:pStyle w:val="ListNumber"/>
      </w:pPr>
      <w:r>
        <w:rPr>
          <w:sz w:val="22"/>
        </w:rPr>
        <w:t>付费意愿与使用强度并不重合：高使用强度的"Power user"（前 1%）人均月付 903 美元（a16z/YipitData, 2026-08）；中位付费用户月付约 20 美元；约 14% 付费用户同时订阅 8 项以上 AI 服务。这种"长尾分散+头部集中"形态在传统 SaaS 中并不常见。</w:t>
      </w:r>
    </w:p>
    <w:p>
      <w:pPr>
        <w:pStyle w:val="ListNumber"/>
      </w:pPr>
      <w:r>
        <w:rPr>
          <w:sz w:val="22"/>
        </w:rPr>
        <w:t>企业付费领先、消费者付费滞后：企业级 LLM API 市场 Menlo Ventures 估算 2025 全年达 200 亿美元规模、2030 年将超过 1500 亿美元；C 端订阅渗透率仍低，未来 3–5 年的主要增量将来自企业级 AI Agent、垂直行业 Copilot 与企业级 Token Pack。</w:t>
      </w:r>
    </w:p>
    <w:p>
      <w:pPr>
        <w:pStyle w:val="Heading1"/>
      </w:pPr>
      <w:r>
        <w:t>2. 研究背景与方法</w:t>
      </w:r>
    </w:p>
    <w:p>
      <w:pPr>
        <w:pStyle w:val="Heading2"/>
      </w:pPr>
      <w:r>
        <w:t>2.1 研究问题</w:t>
      </w:r>
    </w:p>
    <w:p>
      <w:pPr>
        <w:pStyle w:val="ListBullet"/>
      </w:pPr>
      <w:r>
        <w:rPr>
          <w:sz w:val="22"/>
        </w:rPr>
        <w:t>AI 已经"无处不在"，但究竟在哪些具体任务/行业上被使用？</w:t>
      </w:r>
    </w:p>
    <w:p>
      <w:pPr>
        <w:pStyle w:val="ListBullet"/>
      </w:pPr>
      <w:r>
        <w:rPr>
          <w:sz w:val="22"/>
        </w:rPr>
        <w:t>谁愿意为 AI 掏钱、掏多少、为什么付？</w:t>
      </w:r>
    </w:p>
    <w:p>
      <w:pPr>
        <w:pStyle w:val="ListBullet"/>
      </w:pPr>
      <w:r>
        <w:rPr>
          <w:sz w:val="22"/>
        </w:rPr>
        <w:t>使用强度与付费意愿之间是否对齐？哪些场景出现"用得多但不付钱"或"付了钱但很少用"的反差？</w:t>
      </w:r>
    </w:p>
    <w:p>
      <w:pPr>
        <w:pStyle w:val="Heading2"/>
      </w:pPr>
      <w:r>
        <w:t>2.2 数据来源与时间窗口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2436"/>
        <w:gridCol w:w="2436"/>
        <w:gridCol w:w="2436"/>
        <w:gridCol w:w="2436"/>
      </w:tblGrid>
      <w:tr>
        <w:tc>
          <w:tcPr>
            <w:tcW w:type="dxa" w:w="2436"/>
          </w:tcPr>
          <w:p>
            <w:r/>
            <w:r>
              <w:rPr>
                <w:b/>
              </w:rPr>
              <w:t>数据源</w:t>
            </w:r>
          </w:p>
        </w:tc>
        <w:tc>
          <w:tcPr>
            <w:tcW w:type="dxa" w:w="2436"/>
          </w:tcPr>
          <w:p>
            <w:r/>
            <w:r>
              <w:rPr>
                <w:b/>
              </w:rPr>
              <w:t>类型</w:t>
            </w:r>
          </w:p>
        </w:tc>
        <w:tc>
          <w:tcPr>
            <w:tcW w:type="dxa" w:w="2436"/>
          </w:tcPr>
          <w:p>
            <w:r/>
            <w:r>
              <w:rPr>
                <w:b/>
              </w:rPr>
              <w:t>时间窗口</w:t>
            </w:r>
          </w:p>
        </w:tc>
        <w:tc>
          <w:tcPr>
            <w:tcW w:type="dxa" w:w="2436"/>
          </w:tcPr>
          <w:p>
            <w:r/>
            <w:r>
              <w:rPr>
                <w:b/>
              </w:rPr>
              <w:t>用途</w:t>
            </w:r>
          </w:p>
        </w:tc>
      </w:tr>
      <w:tr>
        <w:tc>
          <w:tcPr>
            <w:tcW w:type="dxa" w:w="2436"/>
          </w:tcPr>
          <w:p>
            <w:r>
              <w:t>Stanford HAI《AI Index Report 2026》</w:t>
            </w:r>
          </w:p>
        </w:tc>
        <w:tc>
          <w:tcPr>
            <w:tcW w:type="dxa" w:w="2436"/>
          </w:tcPr>
          <w:p>
            <w:r>
              <w:t>第三方综合报告</w:t>
            </w:r>
          </w:p>
        </w:tc>
        <w:tc>
          <w:tcPr>
            <w:tcW w:type="dxa" w:w="2436"/>
          </w:tcPr>
          <w:p>
            <w:r>
              <w:t>2026-04 发布，覆盖 2025 整年</w:t>
            </w:r>
          </w:p>
        </w:tc>
        <w:tc>
          <w:tcPr>
            <w:tcW w:type="dxa" w:w="2436"/>
          </w:tcPr>
          <w:p>
            <w:r>
              <w:t>企业采用率、行业分布、宏观趋势</w:t>
            </w:r>
          </w:p>
        </w:tc>
      </w:tr>
      <w:tr>
        <w:tc>
          <w:tcPr>
            <w:tcW w:type="dxa" w:w="2436"/>
          </w:tcPr>
          <w:p>
            <w:r>
              <w:t>Anthropic《Economic Index 2026》</w:t>
            </w:r>
          </w:p>
        </w:tc>
        <w:tc>
          <w:tcPr>
            <w:tcW w:type="dxa" w:w="2436"/>
          </w:tcPr>
          <w:p>
            <w:r>
              <w:t>模型厂商公开数据</w:t>
            </w:r>
          </w:p>
        </w:tc>
        <w:tc>
          <w:tcPr>
            <w:tcW w:type="dxa" w:w="2436"/>
          </w:tcPr>
          <w:p>
            <w:r>
              <w:t>2026 年发布，含 H2 2025 至 2026 上半年</w:t>
            </w:r>
          </w:p>
        </w:tc>
        <w:tc>
          <w:tcPr>
            <w:tcW w:type="dxa" w:w="2436"/>
          </w:tcPr>
          <w:p>
            <w:r>
              <w:t>Claude 上各任务占比、行业分布</w:t>
            </w:r>
          </w:p>
        </w:tc>
      </w:tr>
      <w:tr>
        <w:tc>
          <w:tcPr>
            <w:tcW w:type="dxa" w:w="2436"/>
          </w:tcPr>
          <w:p>
            <w:r>
              <w:t>OpenRouter Rankings `#task-spend`</w:t>
            </w:r>
          </w:p>
        </w:tc>
        <w:tc>
          <w:tcPr>
            <w:tcW w:type="dxa" w:w="2436"/>
          </w:tcPr>
          <w:p>
            <w:r>
              <w:t>LLM API 路由平台实时数据</w:t>
            </w:r>
          </w:p>
        </w:tc>
        <w:tc>
          <w:tcPr>
            <w:tcW w:type="dxa" w:w="2436"/>
          </w:tcPr>
          <w:p>
            <w:r>
              <w:t>2026-10-05 30 天滚动窗口</w:t>
            </w:r>
          </w:p>
        </w:tc>
        <w:tc>
          <w:tcPr>
            <w:tcW w:type="dxa" w:w="2436"/>
          </w:tcPr>
          <w:p>
            <w:r>
              <w:t>真实推理流量在各任务上的支出占比</w:t>
            </w:r>
          </w:p>
        </w:tc>
      </w:tr>
      <w:tr>
        <w:tc>
          <w:tcPr>
            <w:tcW w:type="dxa" w:w="2436"/>
          </w:tcPr>
          <w:p>
            <w:r>
              <w:t>Menlo Ventures《State of Consumer AI 2025》《State of AI 2025: The LLM Stack》</w:t>
            </w:r>
          </w:p>
        </w:tc>
        <w:tc>
          <w:tcPr>
            <w:tcW w:type="dxa" w:w="2436"/>
          </w:tcPr>
          <w:p>
            <w:r>
              <w:t>VC 行业研究</w:t>
            </w:r>
          </w:p>
        </w:tc>
        <w:tc>
          <w:tcPr>
            <w:tcW w:type="dxa" w:w="2436"/>
          </w:tcPr>
          <w:p>
            <w:r>
              <w:t>2025 全年数据</w:t>
            </w:r>
          </w:p>
        </w:tc>
        <w:tc>
          <w:tcPr>
            <w:tcW w:type="dxa" w:w="2436"/>
          </w:tcPr>
          <w:p>
            <w:r>
              <w:t>消费级与企业级 AI 收入与渗透</w:t>
            </w:r>
          </w:p>
        </w:tc>
      </w:tr>
      <w:tr>
        <w:tc>
          <w:tcPr>
            <w:tcW w:type="dxa" w:w="2436"/>
          </w:tcPr>
          <w:p>
            <w:r>
              <w:t>Bank of America / PNC 家庭消费面板</w:t>
            </w:r>
          </w:p>
        </w:tc>
        <w:tc>
          <w:tcPr>
            <w:tcW w:type="dxa" w:w="2436"/>
          </w:tcPr>
          <w:p>
            <w:r>
              <w:t>银行级消费数据</w:t>
            </w:r>
          </w:p>
        </w:tc>
        <w:tc>
          <w:tcPr>
            <w:tcW w:type="dxa" w:w="2436"/>
          </w:tcPr>
          <w:p>
            <w:r>
              <w:t>2025–2026</w:t>
            </w:r>
          </w:p>
        </w:tc>
        <w:tc>
          <w:tcPr>
            <w:tcW w:type="dxa" w:w="2436"/>
          </w:tcPr>
          <w:p>
            <w:r>
              <w:t>C 端 AI 订阅消费规模与增速</w:t>
            </w:r>
          </w:p>
        </w:tc>
      </w:tr>
      <w:tr>
        <w:tc>
          <w:tcPr>
            <w:tcW w:type="dxa" w:w="2436"/>
          </w:tcPr>
          <w:p>
            <w:r>
              <w:t>a16z/YipitData（媒体转引，2026-08）</w:t>
            </w:r>
          </w:p>
        </w:tc>
        <w:tc>
          <w:tcPr>
            <w:tcW w:type="dxa" w:w="2436"/>
          </w:tcPr>
          <w:p>
            <w:r>
              <w:t>行业分析</w:t>
            </w:r>
          </w:p>
        </w:tc>
        <w:tc>
          <w:tcPr>
            <w:tcW w:type="dxa" w:w="2436"/>
          </w:tcPr>
          <w:p>
            <w:r>
              <w:t>2026-08</w:t>
            </w:r>
          </w:p>
        </w:tc>
        <w:tc>
          <w:tcPr>
            <w:tcW w:type="dxa" w:w="2436"/>
          </w:tcPr>
          <w:p>
            <w:r>
              <w:t>Power user 付费数据</w:t>
            </w:r>
          </w:p>
        </w:tc>
      </w:tr>
    </w:tbl>
    <w:p>
      <w:pPr>
        <w:pStyle w:val="Heading2"/>
      </w:pPr>
      <w:r>
        <w:t>2.3 方法说明</w:t>
      </w:r>
    </w:p>
    <w:p>
      <w:pPr>
        <w:pStyle w:val="ListBullet"/>
      </w:pPr>
      <w:r>
        <w:rPr>
          <w:sz w:val="22"/>
        </w:rPr>
        <w:t>企业侧：以"组织在至少一个业务环节使用 AI"的渗透率衡量广度，以"具体任务/行业中的 API 支出占比"衡量深度。</w:t>
      </w:r>
    </w:p>
    <w:p>
      <w:pPr>
        <w:pStyle w:val="ListBullet"/>
      </w:pPr>
      <w:r>
        <w:rPr>
          <w:sz w:val="22"/>
        </w:rPr>
        <w:t>消费侧：以"为高级订阅付费的家庭/用户比例"衡量广度，以"客单价与消费总规模"衡量深度。</w:t>
      </w:r>
    </w:p>
    <w:p>
      <w:pPr>
        <w:pStyle w:val="ListBullet"/>
      </w:pPr>
      <w:r>
        <w:rPr>
          <w:sz w:val="22"/>
        </w:rPr>
        <w:t>对比维度：以"宏任务 × 行业 × 用户类型"做交叉分析；数据冲突时优先采用更新、更贴近实际推理流量的来源。</w:t>
      </w:r>
    </w:p>
    <w:p>
      <w:pPr>
        <w:pStyle w:val="Heading1"/>
      </w:pPr>
      <w:r>
        <w:t>3. AI 使用场景分析</w:t>
      </w:r>
    </w:p>
    <w:p>
      <w:pPr>
        <w:pStyle w:val="Heading2"/>
      </w:pPr>
      <w:r>
        <w:t>3.1 整体采用广度</w:t>
      </w:r>
    </w:p>
    <w:p>
      <w:r>
        <w:rPr>
          <w:b w:val="0"/>
          <w:i w:val="0"/>
        </w:rPr>
        <w:t>Stanford HAI《AI Index 2026》数据：</w:t>
      </w:r>
    </w:p>
    <w:p>
      <w:pPr>
        <w:pStyle w:val="ListBullet"/>
      </w:pPr>
      <w:r>
        <w:rPr>
          <w:sz w:val="22"/>
        </w:rPr>
        <w:t>78% 的组织在至少一个业务环节使用 AI（2024 年为 55%）</w:t>
      </w:r>
    </w:p>
    <w:p>
      <w:pPr>
        <w:pStyle w:val="ListBullet"/>
      </w:pPr>
      <w:r>
        <w:rPr>
          <w:sz w:val="22"/>
        </w:rPr>
        <w:t>60%+ 的组织使用生成式 AI（2024 年为 33%）</w:t>
      </w:r>
    </w:p>
    <w:p>
      <w:pPr>
        <w:pStyle w:val="ListBullet"/>
      </w:pPr>
      <w:r>
        <w:rPr>
          <w:sz w:val="22"/>
        </w:rPr>
        <w:t>40%+ 的大型企业报告至少一个 AI Agent 进入生产环境</w:t>
      </w:r>
    </w:p>
    <w:p>
      <w:pPr>
        <w:ind w:left="454"/>
      </w:pPr>
      <w:r>
        <w:rPr>
          <w:i/>
          <w:sz w:val="20"/>
        </w:rPr>
        <w:t>这一渗透节奏意味着：AI 不再是"早期采纳者"的实验性技术，而是进入主流化阶段。</w:t>
      </w:r>
    </w:p>
    <w:p>
      <w:pPr>
        <w:pStyle w:val="Heading2"/>
      </w:pPr>
      <w:r>
        <w:t>3.2 使用场景的真实分布（基于 OpenRouter 2026-10-05 数据）</w:t>
      </w:r>
    </w:p>
    <w:p>
      <w:r>
        <w:rPr>
          <w:b w:val="0"/>
          <w:i w:val="0"/>
        </w:rPr>
        <w:t>OpenRouter 是聚合多家 LLM 厂商 API 的路由平台，其 task-spend 视图按"任务分类"统计 30 天滚动窗口内的实际推理支出，可视为"AI 实际被用于做什么"的最贴近实时切片。</w:t>
      </w:r>
    </w:p>
    <w:p>
      <w:r>
        <w:rPr>
          <w:b w:val="0"/>
          <w:i w:val="0"/>
        </w:rPr>
        <w:t>表 1：宏任务（Macro Category）支出占比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3249"/>
        <w:gridCol w:w="3249"/>
        <w:gridCol w:w="3249"/>
      </w:tblGrid>
      <w:tr>
        <w:tc>
          <w:tcPr>
            <w:tcW w:type="dxa" w:w="3249"/>
          </w:tcPr>
          <w:p>
            <w:r/>
            <w:r>
              <w:rPr>
                <w:b/>
              </w:rPr>
              <w:t>宏分类</w:t>
            </w:r>
          </w:p>
        </w:tc>
        <w:tc>
          <w:tcPr>
            <w:tcW w:type="dxa" w:w="3249"/>
          </w:tcPr>
          <w:p>
            <w:r/>
            <w:r>
              <w:rPr>
                <w:b/>
              </w:rPr>
              <w:t>英文标签</w:t>
            </w:r>
          </w:p>
        </w:tc>
        <w:tc>
          <w:tcPr>
            <w:tcW w:type="dxa" w:w="3249"/>
          </w:tcPr>
          <w:p>
            <w:r/>
            <w:r>
              <w:rPr>
                <w:b/>
              </w:rPr>
              <w:t>30 天支出占比</w:t>
            </w:r>
          </w:p>
        </w:tc>
      </w:tr>
      <w:tr>
        <w:tc>
          <w:tcPr>
            <w:tcW w:type="dxa" w:w="3249"/>
          </w:tcPr>
          <w:p>
            <w:r>
              <w:t>Agent</w:t>
            </w:r>
          </w:p>
        </w:tc>
        <w:tc>
          <w:tcPr>
            <w:tcW w:type="dxa" w:w="3249"/>
          </w:tcPr>
          <w:p>
            <w:r>
              <w:t>Agent</w:t>
            </w:r>
          </w:p>
        </w:tc>
        <w:tc>
          <w:tcPr>
            <w:tcW w:type="dxa" w:w="3249"/>
          </w:tcPr>
          <w:p>
            <w:r>
              <w:t>30.96%</w:t>
            </w:r>
          </w:p>
        </w:tc>
      </w:tr>
      <w:tr>
        <w:tc>
          <w:tcPr>
            <w:tcW w:type="dxa" w:w="3249"/>
          </w:tcPr>
          <w:p>
            <w:r>
              <w:t>通用</w:t>
            </w:r>
          </w:p>
        </w:tc>
        <w:tc>
          <w:tcPr>
            <w:tcW w:type="dxa" w:w="3249"/>
          </w:tcPr>
          <w:p>
            <w:r>
              <w:t>General</w:t>
            </w:r>
          </w:p>
        </w:tc>
        <w:tc>
          <w:tcPr>
            <w:tcW w:type="dxa" w:w="3249"/>
          </w:tcPr>
          <w:p>
            <w:r>
              <w:t>31.21%</w:t>
            </w:r>
          </w:p>
        </w:tc>
      </w:tr>
      <w:tr>
        <w:tc>
          <w:tcPr>
            <w:tcW w:type="dxa" w:w="3249"/>
          </w:tcPr>
          <w:p>
            <w:r>
              <w:t>代码</w:t>
            </w:r>
          </w:p>
        </w:tc>
        <w:tc>
          <w:tcPr>
            <w:tcW w:type="dxa" w:w="3249"/>
          </w:tcPr>
          <w:p>
            <w:r>
              <w:t>Code</w:t>
            </w:r>
          </w:p>
        </w:tc>
        <w:tc>
          <w:tcPr>
            <w:tcW w:type="dxa" w:w="3249"/>
          </w:tcPr>
          <w:p>
            <w:r>
              <w:t>27.88%</w:t>
            </w:r>
          </w:p>
        </w:tc>
      </w:tr>
      <w:tr>
        <w:tc>
          <w:tcPr>
            <w:tcW w:type="dxa" w:w="3249"/>
          </w:tcPr>
          <w:p>
            <w:r>
              <w:t>数据</w:t>
            </w:r>
          </w:p>
        </w:tc>
        <w:tc>
          <w:tcPr>
            <w:tcW w:type="dxa" w:w="3249"/>
          </w:tcPr>
          <w:p>
            <w:r>
              <w:t>Data</w:t>
            </w:r>
          </w:p>
        </w:tc>
        <w:tc>
          <w:tcPr>
            <w:tcW w:type="dxa" w:w="3249"/>
          </w:tcPr>
          <w:p>
            <w:r>
              <w:t>9.96%</w:t>
            </w:r>
          </w:p>
        </w:tc>
      </w:tr>
    </w:tbl>
    <w:p>
      <w:r>
        <w:rPr>
          <w:b w:val="0"/>
          <w:i w:val="0"/>
        </w:rPr>
        <w:t>表 2：前 10 大细粒度任务（Task）支出占比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2436"/>
        <w:gridCol w:w="2436"/>
        <w:gridCol w:w="2436"/>
        <w:gridCol w:w="2436"/>
      </w:tblGrid>
      <w:tr>
        <w:tc>
          <w:tcPr>
            <w:tcW w:type="dxa" w:w="2436"/>
          </w:tcPr>
          <w:p>
            <w:r/>
            <w:r>
              <w:rPr>
                <w:b/>
              </w:rPr>
              <w:t>#</w:t>
            </w:r>
          </w:p>
        </w:tc>
        <w:tc>
          <w:tcPr>
            <w:tcW w:type="dxa" w:w="2436"/>
          </w:tcPr>
          <w:p>
            <w:r/>
            <w:r>
              <w:rPr>
                <w:b/>
              </w:rPr>
              <w:t>任务标签</w:t>
            </w:r>
          </w:p>
        </w:tc>
        <w:tc>
          <w:tcPr>
            <w:tcW w:type="dxa" w:w="2436"/>
          </w:tcPr>
          <w:p>
            <w:r/>
            <w:r>
              <w:rPr>
                <w:b/>
              </w:rPr>
              <w:t>宏分类</w:t>
            </w:r>
          </w:p>
        </w:tc>
        <w:tc>
          <w:tcPr>
            <w:tcW w:type="dxa" w:w="2436"/>
          </w:tcPr>
          <w:p>
            <w:r/>
            <w:r>
              <w:rPr>
                <w:b/>
              </w:rPr>
              <w:t>占总支出比例</w:t>
            </w:r>
          </w:p>
        </w:tc>
      </w:tr>
      <w:tr>
        <w:tc>
          <w:tcPr>
            <w:tcW w:type="dxa" w:w="2436"/>
          </w:tcPr>
          <w:p>
            <w:r>
              <w:t>1</w:t>
            </w:r>
          </w:p>
        </w:tc>
        <w:tc>
          <w:tcPr>
            <w:tcW w:type="dxa" w:w="2436"/>
          </w:tcPr>
          <w:p>
            <w:r>
              <w:t>`agent:workflow_execution`</w:t>
            </w:r>
          </w:p>
        </w:tc>
        <w:tc>
          <w:tcPr>
            <w:tcW w:type="dxa" w:w="2436"/>
          </w:tcPr>
          <w:p>
            <w:r>
              <w:t>Agent</w:t>
            </w:r>
          </w:p>
        </w:tc>
        <w:tc>
          <w:tcPr>
            <w:tcW w:type="dxa" w:w="2436"/>
          </w:tcPr>
          <w:p>
            <w:r>
              <w:t>20.02%</w:t>
            </w:r>
          </w:p>
        </w:tc>
      </w:tr>
      <w:tr>
        <w:tc>
          <w:tcPr>
            <w:tcW w:type="dxa" w:w="2436"/>
          </w:tcPr>
          <w:p>
            <w:r>
              <w:t>2</w:t>
            </w:r>
          </w:p>
        </w:tc>
        <w:tc>
          <w:tcPr>
            <w:tcW w:type="dxa" w:w="2436"/>
          </w:tcPr>
          <w:p>
            <w:r>
              <w:t>`classification_tagging`</w:t>
            </w:r>
          </w:p>
        </w:tc>
        <w:tc>
          <w:tcPr>
            <w:tcW w:type="dxa" w:w="2436"/>
          </w:tcPr>
          <w:p>
            <w:r>
              <w:t>General</w:t>
            </w:r>
          </w:p>
        </w:tc>
        <w:tc>
          <w:tcPr>
            <w:tcW w:type="dxa" w:w="2436"/>
          </w:tcPr>
          <w:p>
            <w:r>
              <w:t>11.03%</w:t>
            </w:r>
          </w:p>
        </w:tc>
      </w:tr>
      <w:tr>
        <w:tc>
          <w:tcPr>
            <w:tcW w:type="dxa" w:w="2436"/>
          </w:tcPr>
          <w:p>
            <w:r>
              <w:t>3</w:t>
            </w:r>
          </w:p>
        </w:tc>
        <w:tc>
          <w:tcPr>
            <w:tcW w:type="dxa" w:w="2436"/>
          </w:tcPr>
          <w:p>
            <w:r>
              <w:t>`code:general_impl`</w:t>
            </w:r>
          </w:p>
        </w:tc>
        <w:tc>
          <w:tcPr>
            <w:tcW w:type="dxa" w:w="2436"/>
          </w:tcPr>
          <w:p>
            <w:r>
              <w:t>Code</w:t>
            </w:r>
          </w:p>
        </w:tc>
        <w:tc>
          <w:tcPr>
            <w:tcW w:type="dxa" w:w="2436"/>
          </w:tcPr>
          <w:p>
            <w:r>
              <w:t>9.20%</w:t>
            </w:r>
          </w:p>
        </w:tc>
      </w:tr>
      <w:tr>
        <w:tc>
          <w:tcPr>
            <w:tcW w:type="dxa" w:w="2436"/>
          </w:tcPr>
          <w:p>
            <w:r>
              <w:t>4</w:t>
            </w:r>
          </w:p>
        </w:tc>
        <w:tc>
          <w:tcPr>
            <w:tcW w:type="dxa" w:w="2436"/>
          </w:tcPr>
          <w:p>
            <w:r>
              <w:t>`agent:multi_step_planning`</w:t>
            </w:r>
          </w:p>
        </w:tc>
        <w:tc>
          <w:tcPr>
            <w:tcW w:type="dxa" w:w="2436"/>
          </w:tcPr>
          <w:p>
            <w:r>
              <w:t>Agent</w:t>
            </w:r>
          </w:p>
        </w:tc>
        <w:tc>
          <w:tcPr>
            <w:tcW w:type="dxa" w:w="2436"/>
          </w:tcPr>
          <w:p>
            <w:r>
              <w:t>7.72%</w:t>
            </w:r>
          </w:p>
        </w:tc>
      </w:tr>
      <w:tr>
        <w:tc>
          <w:tcPr>
            <w:tcW w:type="dxa" w:w="2436"/>
          </w:tcPr>
          <w:p>
            <w:r>
              <w:t>5</w:t>
            </w:r>
          </w:p>
        </w:tc>
        <w:tc>
          <w:tcPr>
            <w:tcW w:type="dxa" w:w="2436"/>
          </w:tcPr>
          <w:p>
            <w:r>
              <w:t>`data:extraction`</w:t>
            </w:r>
          </w:p>
        </w:tc>
        <w:tc>
          <w:tcPr>
            <w:tcW w:type="dxa" w:w="2436"/>
          </w:tcPr>
          <w:p>
            <w:r>
              <w:t>Data</w:t>
            </w:r>
          </w:p>
        </w:tc>
        <w:tc>
          <w:tcPr>
            <w:tcW w:type="dxa" w:w="2436"/>
          </w:tcPr>
          <w:p>
            <w:r>
              <w:t>7.01%</w:t>
            </w:r>
          </w:p>
        </w:tc>
      </w:tr>
      <w:tr>
        <w:tc>
          <w:tcPr>
            <w:tcW w:type="dxa" w:w="2436"/>
          </w:tcPr>
          <w:p>
            <w:r>
              <w:t>6</w:t>
            </w:r>
          </w:p>
        </w:tc>
        <w:tc>
          <w:tcPr>
            <w:tcW w:type="dxa" w:w="2436"/>
          </w:tcPr>
          <w:p>
            <w:r>
              <w:t>`code:debugging`</w:t>
            </w:r>
          </w:p>
        </w:tc>
        <w:tc>
          <w:tcPr>
            <w:tcW w:type="dxa" w:w="2436"/>
          </w:tcPr>
          <w:p>
            <w:r>
              <w:t>Code</w:t>
            </w:r>
          </w:p>
        </w:tc>
        <w:tc>
          <w:tcPr>
            <w:tcW w:type="dxa" w:w="2436"/>
          </w:tcPr>
          <w:p>
            <w:r>
              <w:t>4.94%</w:t>
            </w:r>
          </w:p>
        </w:tc>
      </w:tr>
      <w:tr>
        <w:tc>
          <w:tcPr>
            <w:tcW w:type="dxa" w:w="2436"/>
          </w:tcPr>
          <w:p>
            <w:r>
              <w:t>7</w:t>
            </w:r>
          </w:p>
        </w:tc>
        <w:tc>
          <w:tcPr>
            <w:tcW w:type="dxa" w:w="2436"/>
          </w:tcPr>
          <w:p>
            <w:r>
              <w:t>`code:file_read_write`</w:t>
            </w:r>
          </w:p>
        </w:tc>
        <w:tc>
          <w:tcPr>
            <w:tcW w:type="dxa" w:w="2436"/>
          </w:tcPr>
          <w:p>
            <w:r>
              <w:t>Code</w:t>
            </w:r>
          </w:p>
        </w:tc>
        <w:tc>
          <w:tcPr>
            <w:tcW w:type="dxa" w:w="2436"/>
          </w:tcPr>
          <w:p>
            <w:r>
              <w:t>4.56%</w:t>
            </w:r>
          </w:p>
        </w:tc>
      </w:tr>
      <w:tr>
        <w:tc>
          <w:tcPr>
            <w:tcW w:type="dxa" w:w="2436"/>
          </w:tcPr>
          <w:p>
            <w:r>
              <w:t>8</w:t>
            </w:r>
          </w:p>
        </w:tc>
        <w:tc>
          <w:tcPr>
            <w:tcW w:type="dxa" w:w="2436"/>
          </w:tcPr>
          <w:p>
            <w:r>
              <w:t>`content_writing`</w:t>
            </w:r>
          </w:p>
        </w:tc>
        <w:tc>
          <w:tcPr>
            <w:tcW w:type="dxa" w:w="2436"/>
          </w:tcPr>
          <w:p>
            <w:r>
              <w:t>General</w:t>
            </w:r>
          </w:p>
        </w:tc>
        <w:tc>
          <w:tcPr>
            <w:tcW w:type="dxa" w:w="2436"/>
          </w:tcPr>
          <w:p>
            <w:r>
              <w:t>4.04%</w:t>
            </w:r>
          </w:p>
        </w:tc>
      </w:tr>
      <w:tr>
        <w:tc>
          <w:tcPr>
            <w:tcW w:type="dxa" w:w="2436"/>
          </w:tcPr>
          <w:p>
            <w:r>
              <w:t>9</w:t>
            </w:r>
          </w:p>
        </w:tc>
        <w:tc>
          <w:tcPr>
            <w:tcW w:type="dxa" w:w="2436"/>
          </w:tcPr>
          <w:p>
            <w:r>
              <w:t>`roleplay_fiction`</w:t>
            </w:r>
          </w:p>
        </w:tc>
        <w:tc>
          <w:tcPr>
            <w:tcW w:type="dxa" w:w="2436"/>
          </w:tcPr>
          <w:p>
            <w:r>
              <w:t>General</w:t>
            </w:r>
          </w:p>
        </w:tc>
        <w:tc>
          <w:tcPr>
            <w:tcW w:type="dxa" w:w="2436"/>
          </w:tcPr>
          <w:p>
            <w:r>
              <w:t>3.62%</w:t>
            </w:r>
          </w:p>
        </w:tc>
      </w:tr>
      <w:tr>
        <w:tc>
          <w:tcPr>
            <w:tcW w:type="dxa" w:w="2436"/>
          </w:tcPr>
          <w:p>
            <w:r>
              <w:t>10</w:t>
            </w:r>
          </w:p>
        </w:tc>
        <w:tc>
          <w:tcPr>
            <w:tcW w:type="dxa" w:w="2436"/>
          </w:tcPr>
          <w:p>
            <w:r>
              <w:t>`qa_knowledge`</w:t>
            </w:r>
          </w:p>
        </w:tc>
        <w:tc>
          <w:tcPr>
            <w:tcW w:type="dxa" w:w="2436"/>
          </w:tcPr>
          <w:p>
            <w:r>
              <w:t>General</w:t>
            </w:r>
          </w:p>
        </w:tc>
        <w:tc>
          <w:tcPr>
            <w:tcW w:type="dxa" w:w="2436"/>
          </w:tcPr>
          <w:p>
            <w:r>
              <w:t>3.33%</w:t>
            </w:r>
          </w:p>
        </w:tc>
      </w:tr>
    </w:tbl>
    <w:p>
      <w:r>
        <w:rPr>
          <w:b w:val="0"/>
          <w:i w:val="0"/>
        </w:rPr>
        <w:t>关键解读：</w:t>
      </w:r>
    </w:p>
    <w:p>
      <w:pPr>
        <w:pStyle w:val="ListBullet"/>
      </w:pPr>
      <w:r>
        <w:rPr>
          <w:sz w:val="22"/>
        </w:rPr>
        <w:t>Agent 已超越单纯代码生成成为最大用例：agent:workflow_execution 单任务即占 20%，叠加 agent:multi_step_planning（7.72%）、agent:tool_dispatch（1.46%）、agent:web_search（1.14%）、agent:memory_extraction（0.61%），Agent 宏分类合计 30.96%，超越传统代码生成。</w:t>
      </w:r>
    </w:p>
    <w:p>
      <w:pPr>
        <w:pStyle w:val="ListBullet"/>
      </w:pPr>
      <w:r>
        <w:rPr>
          <w:sz w:val="22"/>
        </w:rPr>
        <w:t>代码相关场景依然重要但更细分：Code 宏分类下细分出 general_impl / debugging / file_read_write / review_security / shell_execution / frontend_ui / repo_scan / devops_config / sql_database 共 9 个子任务，反映出 LLM 已嵌入软件工程全生命周期。</w:t>
      </w:r>
    </w:p>
    <w:p>
      <w:pPr>
        <w:pStyle w:val="ListBullet"/>
      </w:pPr>
      <w:r>
        <w:rPr>
          <w:sz w:val="22"/>
        </w:rPr>
        <w:t>"分类与抽取"是被低估的杀手级场景：classification_tagging 单任务占 11.03%，是仅次于 Workflow Execution 的第二大场景，揭示大量企业实际把 LLM 当"高级 NLP 引擎"用。</w:t>
      </w:r>
    </w:p>
    <w:p>
      <w:pPr>
        <w:pStyle w:val="Heading2"/>
      </w:pPr>
      <w:r>
        <w:t>3.3 行业使用强度</w:t>
      </w:r>
    </w:p>
    <w:p>
      <w:r>
        <w:rPr>
          <w:b w:val="0"/>
          <w:i w:val="0"/>
        </w:rPr>
        <w:t>Stanford HAI《AI Index 2026》与 Anthropic《Economic Index 2026》交叉印证：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3249"/>
        <w:gridCol w:w="3249"/>
        <w:gridCol w:w="3249"/>
      </w:tblGrid>
      <w:tr>
        <w:tc>
          <w:tcPr>
            <w:tcW w:type="dxa" w:w="3249"/>
          </w:tcPr>
          <w:p>
            <w:r/>
            <w:r>
              <w:rPr>
                <w:b/>
              </w:rPr>
              <w:t>行业</w:t>
            </w:r>
          </w:p>
        </w:tc>
        <w:tc>
          <w:tcPr>
            <w:tcW w:type="dxa" w:w="3249"/>
          </w:tcPr>
          <w:p>
            <w:r/>
            <w:r>
              <w:rPr>
                <w:b/>
              </w:rPr>
              <w:t>AI 渗透特征</w:t>
            </w:r>
          </w:p>
        </w:tc>
        <w:tc>
          <w:tcPr>
            <w:tcW w:type="dxa" w:w="3249"/>
          </w:tcPr>
          <w:p>
            <w:r/>
            <w:r>
              <w:rPr>
                <w:b/>
              </w:rPr>
              <w:t>代表任务</w:t>
            </w:r>
          </w:p>
        </w:tc>
      </w:tr>
      <w:tr>
        <w:tc>
          <w:tcPr>
            <w:tcW w:type="dxa" w:w="3249"/>
          </w:tcPr>
          <w:p>
            <w:r>
              <w:t>软件 / IT 服务</w:t>
            </w:r>
          </w:p>
        </w:tc>
        <w:tc>
          <w:tcPr>
            <w:tcW w:type="dxa" w:w="3249"/>
          </w:tcPr>
          <w:p>
            <w:r>
              <w:t>渗透率最高，代码任务占比超过 35%</w:t>
            </w:r>
          </w:p>
        </w:tc>
        <w:tc>
          <w:tcPr>
            <w:tcW w:type="dxa" w:w="3249"/>
          </w:tcPr>
          <w:p>
            <w:r>
              <w:t>code:general_impl, code:debugging, code:file_read_write</w:t>
            </w:r>
          </w:p>
        </w:tc>
      </w:tr>
      <w:tr>
        <w:tc>
          <w:tcPr>
            <w:tcW w:type="dxa" w:w="3249"/>
          </w:tcPr>
          <w:p>
            <w:r>
              <w:t>专业服务 / 咨询</w:t>
            </w:r>
          </w:p>
        </w:tc>
        <w:tc>
          <w:tcPr>
            <w:tcW w:type="dxa" w:w="3249"/>
          </w:tcPr>
          <w:p>
            <w:r>
              <w:t>Agent 与内容生成并重</w:t>
            </w:r>
          </w:p>
        </w:tc>
        <w:tc>
          <w:tcPr>
            <w:tcW w:type="dxa" w:w="3249"/>
          </w:tcPr>
          <w:p>
            <w:r>
              <w:t>agent:workflow_execution, content_writing, research_report</w:t>
            </w:r>
          </w:p>
        </w:tc>
      </w:tr>
      <w:tr>
        <w:tc>
          <w:tcPr>
            <w:tcW w:type="dxa" w:w="3249"/>
          </w:tcPr>
          <w:p>
            <w:r>
              <w:t>金融</w:t>
            </w:r>
          </w:p>
        </w:tc>
        <w:tc>
          <w:tcPr>
            <w:tcW w:type="dxa" w:w="3249"/>
          </w:tcPr>
          <w:p>
            <w:r>
              <w:t>数据抽取、合规审查密集</w:t>
            </w:r>
          </w:p>
        </w:tc>
        <w:tc>
          <w:tcPr>
            <w:tcW w:type="dxa" w:w="3249"/>
          </w:tcPr>
          <w:p>
            <w:r>
              <w:t>data:extraction, classification_tagging, qa_knowledge</w:t>
            </w:r>
          </w:p>
        </w:tc>
      </w:tr>
      <w:tr>
        <w:tc>
          <w:tcPr>
            <w:tcW w:type="dxa" w:w="3249"/>
          </w:tcPr>
          <w:p>
            <w:r>
              <w:t>教育</w:t>
            </w:r>
          </w:p>
        </w:tc>
        <w:tc>
          <w:tcPr>
            <w:tcW w:type="dxa" w:w="3249"/>
          </w:tcPr>
          <w:p>
            <w:r>
              <w:t>内容生成与答疑为主</w:t>
            </w:r>
          </w:p>
        </w:tc>
        <w:tc>
          <w:tcPr>
            <w:tcW w:type="dxa" w:w="3249"/>
          </w:tcPr>
          <w:p>
            <w:r>
              <w:t>content_writing, qa_knowledge, summarization</w:t>
            </w:r>
          </w:p>
        </w:tc>
      </w:tr>
      <w:tr>
        <w:tc>
          <w:tcPr>
            <w:tcW w:type="dxa" w:w="3249"/>
          </w:tcPr>
          <w:p>
            <w:r>
              <w:t>医疗 / 生命科学</w:t>
            </w:r>
          </w:p>
        </w:tc>
        <w:tc>
          <w:tcPr>
            <w:tcW w:type="dxa" w:w="3249"/>
          </w:tcPr>
          <w:p>
            <w:r>
              <w:t>文档与问答为主，需谨慎使用</w:t>
            </w:r>
          </w:p>
        </w:tc>
        <w:tc>
          <w:tcPr>
            <w:tcW w:type="dxa" w:w="3249"/>
          </w:tcPr>
          <w:p>
            <w:r>
              <w:t>summarization, qa_knowledge（合规驱动）</w:t>
            </w:r>
          </w:p>
        </w:tc>
      </w:tr>
      <w:tr>
        <w:tc>
          <w:tcPr>
            <w:tcW w:type="dxa" w:w="3249"/>
          </w:tcPr>
          <w:p>
            <w:r>
              <w:t>零售 / 电商</w:t>
            </w:r>
          </w:p>
        </w:tc>
        <w:tc>
          <w:tcPr>
            <w:tcW w:type="dxa" w:w="3249"/>
          </w:tcPr>
          <w:p>
            <w:r>
              <w:t>客服、内容、推荐</w:t>
            </w:r>
          </w:p>
        </w:tc>
        <w:tc>
          <w:tcPr>
            <w:tcW w:type="dxa" w:w="3249"/>
          </w:tcPr>
          <w:p>
            <w:r>
              <w:t>customer_support, content_writing</w:t>
            </w:r>
          </w:p>
        </w:tc>
      </w:tr>
    </w:tbl>
    <w:p>
      <w:pPr>
        <w:pStyle w:val="Heading2"/>
      </w:pPr>
      <w:r>
        <w:t>3.4 典型使用案例</w:t>
      </w:r>
    </w:p>
    <w:p>
      <w:pPr>
        <w:pStyle w:val="ListNumber"/>
      </w:pPr>
      <w:r>
        <w:rPr>
          <w:sz w:val="22"/>
        </w:rPr>
        <w:t>企业 AI Agent 平台（如 Salesforce Agentforce、ServiceNow Now Assist）：直接对应 OpenRouter 的 agent:workflow_execution 高占比，体现"把多个工具串成工作流"是当前最热用例。</w:t>
      </w:r>
    </w:p>
    <w:p>
      <w:pPr>
        <w:pStyle w:val="ListNumber"/>
      </w:pPr>
      <w:r>
        <w:rPr>
          <w:sz w:val="22"/>
        </w:rPr>
        <w:t>代码 Copilot（Cursor、GitHub Copilot、Claude Code）：对应 code:* 系列任务，覆盖实现、调试、评审、SQL、Shell 等环节。</w:t>
      </w:r>
    </w:p>
    <w:p>
      <w:pPr>
        <w:pStyle w:val="ListNumber"/>
      </w:pPr>
      <w:r>
        <w:rPr>
          <w:sz w:val="22"/>
        </w:rPr>
        <w:t>企业知识中台（Notion AI、Slack AI、Glean）：对应 qa_knowledge / summarization / data:extraction，把分散在内部文档中的知识结构化检索。</w:t>
      </w:r>
    </w:p>
    <w:p>
      <w:pPr>
        <w:pStyle w:val="ListNumber"/>
      </w:pPr>
      <w:r>
        <w:rPr>
          <w:sz w:val="22"/>
        </w:rPr>
        <w:t>营销 / 内容流水线：对应 content_writing + classification_tagging，批量生成与打标。</w:t>
      </w:r>
    </w:p>
    <w:p>
      <w:pPr>
        <w:pStyle w:val="Heading1"/>
      </w:pPr>
      <w:r>
        <w:t>4. AI 付费场景分析</w:t>
      </w:r>
    </w:p>
    <w:p>
      <w:pPr>
        <w:pStyle w:val="Heading2"/>
      </w:pPr>
      <w:r>
        <w:t>4.1 整体付费规模与渗透率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2436"/>
        <w:gridCol w:w="2436"/>
        <w:gridCol w:w="2436"/>
        <w:gridCol w:w="2436"/>
      </w:tblGrid>
      <w:tr>
        <w:tc>
          <w:tcPr>
            <w:tcW w:type="dxa" w:w="2436"/>
          </w:tcPr>
          <w:p>
            <w:r/>
            <w:r>
              <w:rPr>
                <w:b/>
              </w:rPr>
              <w:t>指标</w:t>
            </w:r>
          </w:p>
        </w:tc>
        <w:tc>
          <w:tcPr>
            <w:tcW w:type="dxa" w:w="2436"/>
          </w:tcPr>
          <w:p>
            <w:r/>
            <w:r>
              <w:rPr>
                <w:b/>
              </w:rPr>
              <w:t>数值</w:t>
            </w:r>
          </w:p>
        </w:tc>
        <w:tc>
          <w:tcPr>
            <w:tcW w:type="dxa" w:w="2436"/>
          </w:tcPr>
          <w:p>
            <w:r/>
            <w:r>
              <w:rPr>
                <w:b/>
              </w:rPr>
              <w:t>时间</w:t>
            </w:r>
          </w:p>
        </w:tc>
        <w:tc>
          <w:tcPr>
            <w:tcW w:type="dxa" w:w="2436"/>
          </w:tcPr>
          <w:p>
            <w:r/>
            <w:r>
              <w:rPr>
                <w:b/>
              </w:rPr>
              <w:t>来源</w:t>
            </w:r>
          </w:p>
        </w:tc>
      </w:tr>
      <w:tr>
        <w:tc>
          <w:tcPr>
            <w:tcW w:type="dxa" w:w="2436"/>
          </w:tcPr>
          <w:p>
            <w:r>
              <w:t>全球消费者 AI 订阅收入</w:t>
            </w:r>
          </w:p>
        </w:tc>
        <w:tc>
          <w:tcPr>
            <w:tcW w:type="dxa" w:w="2436"/>
          </w:tcPr>
          <w:p>
            <w:r>
              <w:t>约 120 亿美元</w:t>
            </w:r>
          </w:p>
        </w:tc>
        <w:tc>
          <w:tcPr>
            <w:tcW w:type="dxa" w:w="2436"/>
          </w:tcPr>
          <w:p>
            <w:r>
              <w:t>2025 全年（估算）</w:t>
            </w:r>
          </w:p>
        </w:tc>
        <w:tc>
          <w:tcPr>
            <w:tcW w:type="dxa" w:w="2436"/>
          </w:tcPr>
          <w:p>
            <w:r>
              <w:t>Menlo Ventures《State of Consumer AI 2025》</w:t>
            </w:r>
          </w:p>
        </w:tc>
      </w:tr>
      <w:tr>
        <w:tc>
          <w:tcPr>
            <w:tcW w:type="dxa" w:w="2436"/>
          </w:tcPr>
          <w:p>
            <w:r>
              <w:t>全球 AI 用户中付费比例</w:t>
            </w:r>
          </w:p>
        </w:tc>
        <w:tc>
          <w:tcPr>
            <w:tcW w:type="dxa" w:w="2436"/>
          </w:tcPr>
          <w:p>
            <w:r>
              <w:t>约 3%</w:t>
            </w:r>
          </w:p>
        </w:tc>
        <w:tc>
          <w:tcPr>
            <w:tcW w:type="dxa" w:w="2436"/>
          </w:tcPr>
          <w:p>
            <w:r>
              <w:t>2025</w:t>
            </w:r>
          </w:p>
        </w:tc>
        <w:tc>
          <w:tcPr>
            <w:tcW w:type="dxa" w:w="2436"/>
          </w:tcPr>
          <w:p>
            <w:r>
              <w:t>Menlo Ventures</w:t>
            </w:r>
          </w:p>
        </w:tc>
      </w:tr>
      <w:tr>
        <w:tc>
          <w:tcPr>
            <w:tcW w:type="dxa" w:w="2436"/>
          </w:tcPr>
          <w:p>
            <w:r>
              <w:t>美国家庭付费比例</w:t>
            </w:r>
          </w:p>
        </w:tc>
        <w:tc>
          <w:tcPr>
            <w:tcW w:type="dxa" w:w="2436"/>
          </w:tcPr>
          <w:p>
            <w:r>
              <w:t>约 2–3%</w:t>
            </w:r>
          </w:p>
        </w:tc>
        <w:tc>
          <w:tcPr>
            <w:tcW w:type="dxa" w:w="2436"/>
          </w:tcPr>
          <w:p>
            <w:r>
              <w:t>2025–2026</w:t>
            </w:r>
          </w:p>
        </w:tc>
        <w:tc>
          <w:tcPr>
            <w:tcW w:type="dxa" w:w="2436"/>
          </w:tcPr>
          <w:p>
            <w:r>
              <w:t>Bank of America / PNC</w:t>
            </w:r>
          </w:p>
        </w:tc>
      </w:tr>
      <w:tr>
        <w:tc>
          <w:tcPr>
            <w:tcW w:type="dxa" w:w="2436"/>
          </w:tcPr>
          <w:p>
            <w:r>
              <w:t>美国家庭付费同比增速</w:t>
            </w:r>
          </w:p>
        </w:tc>
        <w:tc>
          <w:tcPr>
            <w:tcW w:type="dxa" w:w="2436"/>
          </w:tcPr>
          <w:p>
            <w:r>
              <w:t>+38%–155%</w:t>
            </w:r>
          </w:p>
        </w:tc>
        <w:tc>
          <w:tcPr>
            <w:tcW w:type="dxa" w:w="2436"/>
          </w:tcPr>
          <w:p>
            <w:r>
              <w:t>2025–2026</w:t>
            </w:r>
          </w:p>
        </w:tc>
        <w:tc>
          <w:tcPr>
            <w:tcW w:type="dxa" w:w="2436"/>
          </w:tcPr>
          <w:p>
            <w:r>
              <w:t>PNC（"paying households up ~155% YoY"）</w:t>
            </w:r>
          </w:p>
        </w:tc>
      </w:tr>
      <w:tr>
        <w:tc>
          <w:tcPr>
            <w:tcW w:type="dxa" w:w="2436"/>
          </w:tcPr>
          <w:p>
            <w:r>
              <w:t>韩国 AI 订阅月支出</w:t>
            </w:r>
          </w:p>
        </w:tc>
        <w:tc>
          <w:tcPr>
            <w:tcW w:type="dxa" w:w="2436"/>
          </w:tcPr>
          <w:p>
            <w:r>
              <w:t>约 8.03 亿韩元/月（已超 Netflix）</w:t>
            </w:r>
          </w:p>
        </w:tc>
        <w:tc>
          <w:tcPr>
            <w:tcW w:type="dxa" w:w="2436"/>
          </w:tcPr>
          <w:p>
            <w:r>
              <w:t>2025-12</w:t>
            </w:r>
          </w:p>
        </w:tc>
        <w:tc>
          <w:tcPr>
            <w:tcW w:type="dxa" w:w="2436"/>
          </w:tcPr>
          <w:p>
            <w:r>
              <w:t>韩国本地报告</w:t>
            </w:r>
          </w:p>
        </w:tc>
      </w:tr>
      <w:tr>
        <w:tc>
          <w:tcPr>
            <w:tcW w:type="dxa" w:w="2436"/>
          </w:tcPr>
          <w:p>
            <w:r>
              <w:t>美国消费者 AI 长期市场预测</w:t>
            </w:r>
          </w:p>
        </w:tc>
        <w:tc>
          <w:tcPr>
            <w:tcW w:type="dxa" w:w="2436"/>
          </w:tcPr>
          <w:p>
            <w:r>
              <w:t>最高 750 亿美元/年</w:t>
            </w:r>
          </w:p>
        </w:tc>
        <w:tc>
          <w:tcPr>
            <w:tcW w:type="dxa" w:w="2436"/>
          </w:tcPr>
          <w:p>
            <w:r>
              <w:t>2030（预测）</w:t>
            </w:r>
          </w:p>
        </w:tc>
        <w:tc>
          <w:tcPr>
            <w:tcW w:type="dxa" w:w="2436"/>
          </w:tcPr>
          <w:p>
            <w:r>
              <w:t>Bank of America（待核实）</w:t>
            </w:r>
          </w:p>
        </w:tc>
      </w:tr>
      <w:tr>
        <w:tc>
          <w:tcPr>
            <w:tcW w:type="dxa" w:w="2436"/>
          </w:tcPr>
          <w:p>
            <w:r>
              <w:t>美国生成式 AI 给消费者年价值</w:t>
            </w:r>
          </w:p>
        </w:tc>
        <w:tc>
          <w:tcPr>
            <w:tcW w:type="dxa" w:w="2436"/>
          </w:tcPr>
          <w:p>
            <w:r>
              <w:t>约 1720 亿美元</w:t>
            </w:r>
          </w:p>
        </w:tc>
        <w:tc>
          <w:tcPr>
            <w:tcW w:type="dxa" w:w="2436"/>
          </w:tcPr>
          <w:p>
            <w:r>
              <w:t>2026 估算</w:t>
            </w:r>
          </w:p>
        </w:tc>
        <w:tc>
          <w:tcPr>
            <w:tcW w:type="dxa" w:w="2436"/>
          </w:tcPr>
          <w:p>
            <w:r>
              <w:t>Stanford HAI《AI Index 2026》</w:t>
            </w:r>
          </w:p>
        </w:tc>
      </w:tr>
    </w:tbl>
    <w:p>
      <w:pPr>
        <w:pStyle w:val="Heading2"/>
      </w:pPr>
      <w:r>
        <w:t>4.2 客单价分布</w:t>
      </w:r>
    </w:p>
    <w:p>
      <w:r>
        <w:rPr>
          <w:b w:val="0"/>
          <w:i w:val="0"/>
        </w:rPr>
        <w:t>表 3：付费用户客单价结构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2436"/>
        <w:gridCol w:w="2436"/>
        <w:gridCol w:w="2436"/>
        <w:gridCol w:w="2436"/>
      </w:tblGrid>
      <w:tr>
        <w:tc>
          <w:tcPr>
            <w:tcW w:type="dxa" w:w="2436"/>
          </w:tcPr>
          <w:p>
            <w:r/>
            <w:r>
              <w:rPr>
                <w:b/>
              </w:rPr>
              <w:t>客单价段</w:t>
            </w:r>
          </w:p>
        </w:tc>
        <w:tc>
          <w:tcPr>
            <w:tcW w:type="dxa" w:w="2436"/>
          </w:tcPr>
          <w:p>
            <w:r/>
            <w:r>
              <w:rPr>
                <w:b/>
              </w:rPr>
              <w:t>代表用户</w:t>
            </w:r>
          </w:p>
        </w:tc>
        <w:tc>
          <w:tcPr>
            <w:tcW w:type="dxa" w:w="2436"/>
          </w:tcPr>
          <w:p>
            <w:r/>
            <w:r>
              <w:rPr>
                <w:b/>
              </w:rPr>
              <w:t>占比（估算）</w:t>
            </w:r>
          </w:p>
        </w:tc>
        <w:tc>
          <w:tcPr>
            <w:tcW w:type="dxa" w:w="2436"/>
          </w:tcPr>
          <w:p>
            <w:r/>
            <w:r>
              <w:rPr>
                <w:b/>
              </w:rPr>
              <w:t>行为特征</w:t>
            </w:r>
          </w:p>
        </w:tc>
      </w:tr>
      <w:tr>
        <w:tc>
          <w:tcPr>
            <w:tcW w:type="dxa" w:w="2436"/>
          </w:tcPr>
          <w:p>
            <w:r>
              <w:t>$0（仅用免费层）</w:t>
            </w:r>
          </w:p>
        </w:tc>
        <w:tc>
          <w:tcPr>
            <w:tcW w:type="dxa" w:w="2436"/>
          </w:tcPr>
          <w:p>
            <w:r>
              <w:t>大多数尝鲜用户</w:t>
            </w:r>
          </w:p>
        </w:tc>
        <w:tc>
          <w:tcPr>
            <w:tcW w:type="dxa" w:w="2436"/>
          </w:tcPr>
          <w:p>
            <w:r>
              <w:t>~97%</w:t>
            </w:r>
          </w:p>
        </w:tc>
        <w:tc>
          <w:tcPr>
            <w:tcW w:type="dxa" w:w="2436"/>
          </w:tcPr>
          <w:p>
            <w:r>
              <w:t>用 ChatGPT 免费版、Claude.ai 免费额度等</w:t>
            </w:r>
          </w:p>
        </w:tc>
      </w:tr>
      <w:tr>
        <w:tc>
          <w:tcPr>
            <w:tcW w:type="dxa" w:w="2436"/>
          </w:tcPr>
          <w:p>
            <w:r>
              <w:t>$8/月（入门）</w:t>
            </w:r>
          </w:p>
        </w:tc>
        <w:tc>
          <w:tcPr>
            <w:tcW w:type="dxa" w:w="2436"/>
          </w:tcPr>
          <w:p>
            <w:r>
              <w:t>ChatGPT Go 等低价档</w:t>
            </w:r>
          </w:p>
        </w:tc>
        <w:tc>
          <w:tcPr>
            <w:tcW w:type="dxa" w:w="2436"/>
          </w:tcPr>
          <w:p>
            <w:r>
              <w:t>估算 &lt; 5%</w:t>
            </w:r>
          </w:p>
        </w:tc>
        <w:tc>
          <w:tcPr>
            <w:tcW w:type="dxa" w:w="2436"/>
          </w:tcPr>
          <w:p>
            <w:r>
              <w:t>重度尝鲜、青少年</w:t>
            </w:r>
          </w:p>
        </w:tc>
      </w:tr>
      <w:tr>
        <w:tc>
          <w:tcPr>
            <w:tcW w:type="dxa" w:w="2436"/>
          </w:tcPr>
          <w:p>
            <w:r>
              <w:t>$20/月（标准锚定）</w:t>
            </w:r>
          </w:p>
        </w:tc>
        <w:tc>
          <w:tcPr>
            <w:tcW w:type="dxa" w:w="2436"/>
          </w:tcPr>
          <w:p>
            <w:r>
              <w:t>ChatGPT Plus / Claude Pro / Gemini AI Pro / Perplexity Pro</w:t>
            </w:r>
          </w:p>
        </w:tc>
        <w:tc>
          <w:tcPr>
            <w:tcW w:type="dxa" w:w="2436"/>
          </w:tcPr>
          <w:p>
            <w:r>
              <w:t>中位付费用户</w:t>
            </w:r>
          </w:p>
        </w:tc>
        <w:tc>
          <w:tcPr>
            <w:tcW w:type="dxa" w:w="2436"/>
          </w:tcPr>
          <w:p>
            <w:r>
              <w:t>高频个人专业用户</w:t>
            </w:r>
          </w:p>
        </w:tc>
      </w:tr>
      <w:tr>
        <w:tc>
          <w:tcPr>
            <w:tcW w:type="dxa" w:w="2436"/>
          </w:tcPr>
          <w:p>
            <w:r>
              <w:t>$60–100/月（叠加）</w:t>
            </w:r>
          </w:p>
        </w:tc>
        <w:tc>
          <w:tcPr>
            <w:tcW w:type="dxa" w:w="2436"/>
          </w:tcPr>
          <w:p>
            <w:r>
              <w:t>"Stacking user"，同时用 2–4 个工具</w:t>
            </w:r>
          </w:p>
        </w:tc>
        <w:tc>
          <w:tcPr>
            <w:tcW w:type="dxa" w:w="2436"/>
          </w:tcPr>
          <w:p>
            <w:r>
              <w:t>约 14% 付费用户付 8+ 项</w:t>
            </w:r>
          </w:p>
        </w:tc>
        <w:tc>
          <w:tcPr>
            <w:tcW w:type="dxa" w:w="2436"/>
          </w:tcPr>
          <w:p>
            <w:r>
              <w:t>自由职业者、独立开发者、研究者</w:t>
            </w:r>
          </w:p>
        </w:tc>
      </w:tr>
      <w:tr>
        <w:tc>
          <w:tcPr>
            <w:tcW w:type="dxa" w:w="2436"/>
          </w:tcPr>
          <w:p>
            <w:r>
              <w:t>$200/月+（重度）</w:t>
            </w:r>
          </w:p>
        </w:tc>
        <w:tc>
          <w:tcPr>
            <w:tcW w:type="dxa" w:w="2436"/>
          </w:tcPr>
          <w:p>
            <w:r>
              <w:t>ChatGPT Pro / Grok Heavy / Claude Max 等高阶档</w:t>
            </w:r>
          </w:p>
        </w:tc>
        <w:tc>
          <w:tcPr>
            <w:tcW w:type="dxa" w:w="2436"/>
          </w:tcPr>
          <w:p>
            <w:r>
              <w:t>&lt; 1%</w:t>
            </w:r>
          </w:p>
        </w:tc>
        <w:tc>
          <w:tcPr>
            <w:tcW w:type="dxa" w:w="2436"/>
          </w:tcPr>
          <w:p>
            <w:r>
              <w:t>Power user，企业开发者、研究员</w:t>
            </w:r>
          </w:p>
        </w:tc>
      </w:tr>
      <w:tr>
        <w:tc>
          <w:tcPr>
            <w:tcW w:type="dxa" w:w="2436"/>
          </w:tcPr>
          <w:p>
            <w:r>
              <w:t>$903/月（极重度）</w:t>
            </w:r>
          </w:p>
        </w:tc>
        <w:tc>
          <w:tcPr>
            <w:tcW w:type="dxa" w:w="2436"/>
          </w:tcPr>
          <w:p>
            <w:r>
              <w:t>a16z/YipitData 跟踪的前 1% 付费用户</w:t>
            </w:r>
          </w:p>
        </w:tc>
        <w:tc>
          <w:tcPr>
            <w:tcW w:type="dxa" w:w="2436"/>
          </w:tcPr>
          <w:p>
            <w:r>
              <w:t>前 1%</w:t>
            </w:r>
          </w:p>
        </w:tc>
        <w:tc>
          <w:tcPr>
            <w:tcW w:type="dxa" w:w="2436"/>
          </w:tcPr>
          <w:p>
            <w:r>
              <w:t>把 AI 当作"外包员工"使用</w:t>
            </w:r>
          </w:p>
        </w:tc>
      </w:tr>
    </w:tbl>
    <w:p>
      <w:pPr>
        <w:ind w:left="454"/>
      </w:pPr>
      <w:r>
        <w:rPr>
          <w:i/>
          <w:sz w:val="20"/>
        </w:rPr>
        <w:t>注：$903/月数据来自 a16z/YipitData 2026-08 媒体转引，原始口径为"前 1% 付费用户在 AI 上的合计月支出"，含个人多工具叠加；建议在严肃决策中标注"估算"。</w:t>
      </w:r>
    </w:p>
    <w:p>
      <w:pPr>
        <w:pStyle w:val="Heading2"/>
      </w:pPr>
      <w:r>
        <w:t>4.3 行业 / 人群付费意愿</w:t>
      </w:r>
    </w:p>
    <w:p>
      <w:pPr>
        <w:pStyle w:val="ListBullet"/>
      </w:pPr>
      <w:r>
        <w:rPr>
          <w:sz w:val="22"/>
        </w:rPr>
        <w:t>25–34 岁人群付费率最高（约 27%），55 岁以上仅 19% 愿意付费——AI 付费具有明显的"年轻专业用户"偏向。</w:t>
      </w:r>
    </w:p>
    <w:p>
      <w:pPr>
        <w:pStyle w:val="ListBullet"/>
      </w:pPr>
      <w:r>
        <w:rPr>
          <w:sz w:val="22"/>
        </w:rPr>
        <w:t>家庭年收入 $100K+ 人群中 72–74% 经常使用 AI，但仅其中一部分付费（"高使用不等于高付费"）。</w:t>
      </w:r>
    </w:p>
    <w:p>
      <w:pPr>
        <w:pStyle w:val="ListBullet"/>
      </w:pPr>
      <w:r>
        <w:rPr>
          <w:sz w:val="22"/>
        </w:rPr>
        <w:t>专业人士 / 自由职业者：Air Street Capital 数据显示约 76% 的人自费购买 AI 工具用于工作，他们是最稳定的"自掏腰包"用户群。</w:t>
      </w:r>
    </w:p>
    <w:p>
      <w:pPr>
        <w:pStyle w:val="ListBullet"/>
      </w:pPr>
      <w:r>
        <w:rPr>
          <w:sz w:val="22"/>
        </w:rPr>
        <w:t>企业付费 vs 个人付费：企业级 LLM API 市场规模（Menlo Ventures 估算 2025 年 200 亿美元，2030 年 1500 亿+美元）远高于消费级订阅（约 120 亿美元），付费主体明显偏向企业。</w:t>
      </w:r>
    </w:p>
    <w:p>
      <w:pPr>
        <w:pStyle w:val="Heading2"/>
      </w:pPr>
      <w:r>
        <w:t>4.4 付费场景的典型分类</w:t>
      </w:r>
    </w:p>
    <w:p>
      <w:pPr>
        <w:pStyle w:val="ListNumber"/>
      </w:pPr>
      <w:r>
        <w:rPr>
          <w:sz w:val="22"/>
        </w:rPr>
        <w:t>编程辅助（Cursor Pro、GitHub Copilot Business、Claude Code Max）：客单价 $20–200/月，企业批量购买是主流。</w:t>
      </w:r>
    </w:p>
    <w:p>
      <w:pPr>
        <w:pStyle w:val="ListNumber"/>
      </w:pPr>
      <w:r>
        <w:rPr>
          <w:sz w:val="22"/>
        </w:rPr>
        <w:t>通用对话升级（ChatGPT Plus / Pro、Claude Pro / Max、Gemini AI Pro）：$20–200/月，是消费付费"标品"。</w:t>
      </w:r>
    </w:p>
    <w:p>
      <w:pPr>
        <w:pStyle w:val="ListNumber"/>
      </w:pPr>
      <w:r>
        <w:rPr>
          <w:sz w:val="22"/>
        </w:rPr>
        <w:t>研究与深度检索（Perplexity Pro）：$20/月，"研究/学术/咨询"用户买单。</w:t>
      </w:r>
    </w:p>
    <w:p>
      <w:pPr>
        <w:pStyle w:val="ListNumber"/>
      </w:pPr>
      <w:r>
        <w:rPr>
          <w:sz w:val="22"/>
        </w:rPr>
        <w:t>图像 / 视频创作（Midjourney、Runway、Sora 订阅）：$10–200/月，设计师、创作者买单。</w:t>
      </w:r>
    </w:p>
    <w:p>
      <w:pPr>
        <w:pStyle w:val="ListNumber"/>
      </w:pPr>
      <w:r>
        <w:rPr>
          <w:sz w:val="22"/>
        </w:rPr>
        <w:t>企业 AI Agent / Copilot（Microsoft 365 Copilot、Salesforce Agentforce）：按席位 $30/用户/月起，企业 IT 预算付费。</w:t>
      </w:r>
    </w:p>
    <w:p>
      <w:pPr>
        <w:pStyle w:val="ListNumber"/>
      </w:pPr>
      <w:r>
        <w:rPr>
          <w:sz w:val="22"/>
        </w:rPr>
        <w:t>垂直行业助手（Harvey（法律）、Hippocratic AI（医疗）、Bloomberg AI（金融））：定制席位或 API 包，行业付费意愿最强。</w:t>
      </w:r>
    </w:p>
    <w:p>
      <w:pPr>
        <w:pStyle w:val="Heading1"/>
      </w:pPr>
      <w:r>
        <w:t>5. 使用场景与付费场景的对比与差异</w:t>
      </w:r>
    </w:p>
    <w:p>
      <w:pPr>
        <w:pStyle w:val="Heading2"/>
      </w:pPr>
      <w:r>
        <w:t>5.1 三层"使用 → 付费"漏斗</w:t>
      </w:r>
    </w:p>
    <w:p>
      <w:r>
        <w:rPr>
          <w:b w:val="0"/>
          <w:i w:val="0"/>
        </w:rPr>
        <w:t>```</w:t>
      </w:r>
    </w:p>
    <w:p>
      <w:r>
        <w:rPr>
          <w:b w:val="0"/>
          <w:i w:val="0"/>
        </w:rPr>
        <w:t>真实推理流量（≈OpenRouter 30 天样本）</w:t>
      </w:r>
    </w:p>
    <w:p>
      <w:r>
        <w:rPr>
          <w:b w:val="0"/>
          <w:i w:val="0"/>
        </w:rPr>
        <w:t>↓</w:t>
      </w:r>
    </w:p>
    <w:p>
      <w:r>
        <w:rPr>
          <w:b w:val="0"/>
          <w:i w:val="0"/>
        </w:rPr>
        <w:t>公开可观测的"任务"分布</w:t>
      </w:r>
    </w:p>
    <w:p>
      <w:r>
        <w:rPr>
          <w:b w:val="0"/>
          <w:i w:val="0"/>
        </w:rPr>
        <w:t>↓</w:t>
      </w:r>
    </w:p>
    <w:p>
      <w:r>
        <w:rPr>
          <w:b w:val="0"/>
          <w:i w:val="0"/>
        </w:rPr>
        <w:t>消费者愿意付费的"产品形态"</w:t>
      </w:r>
    </w:p>
    <w:p>
      <w:r>
        <w:rPr>
          <w:b w:val="0"/>
          <w:i w:val="0"/>
        </w:rPr>
        <w:t>```</w:t>
      </w:r>
    </w:p>
    <w:p>
      <w:r>
        <w:rPr>
          <w:b w:val="0"/>
          <w:i w:val="0"/>
        </w:rPr>
        <w:t>OpenRouter 显示的"实际任务"分布与消费者付费产品之间存在显著错位：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3249"/>
        <w:gridCol w:w="3249"/>
        <w:gridCol w:w="3249"/>
      </w:tblGrid>
      <w:tr>
        <w:tc>
          <w:tcPr>
            <w:tcW w:type="dxa" w:w="3249"/>
          </w:tcPr>
          <w:p>
            <w:r/>
            <w:r>
              <w:rPr>
                <w:b/>
              </w:rPr>
              <w:t>OpenRouter 高占比任务</w:t>
            </w:r>
          </w:p>
        </w:tc>
        <w:tc>
          <w:tcPr>
            <w:tcW w:type="dxa" w:w="3249"/>
          </w:tcPr>
          <w:p>
            <w:r/>
            <w:r>
              <w:rPr>
                <w:b/>
              </w:rPr>
              <w:t>现有 C 端付费产品形态</w:t>
            </w:r>
          </w:p>
        </w:tc>
        <w:tc>
          <w:tcPr>
            <w:tcW w:type="dxa" w:w="3249"/>
          </w:tcPr>
          <w:p>
            <w:r/>
            <w:r>
              <w:rPr>
                <w:b/>
              </w:rPr>
              <w:t>错位表现</w:t>
            </w:r>
          </w:p>
        </w:tc>
      </w:tr>
      <w:tr>
        <w:tc>
          <w:tcPr>
            <w:tcW w:type="dxa" w:w="3249"/>
          </w:tcPr>
          <w:p>
            <w:r>
              <w:t>`agent:workflow_execution`（20%）</w:t>
            </w:r>
          </w:p>
        </w:tc>
        <w:tc>
          <w:tcPr>
            <w:tcW w:type="dxa" w:w="3249"/>
          </w:tcPr>
          <w:p>
            <w:r>
              <w:t>几乎无独立 C 端产品，靠 ChatGPT/Claude 的 Tool Use</w:t>
            </w:r>
          </w:p>
        </w:tc>
        <w:tc>
          <w:tcPr>
            <w:tcW w:type="dxa" w:w="3249"/>
          </w:tcPr>
          <w:p>
            <w:r>
              <w:t>高使用、低独立付费</w:t>
            </w:r>
          </w:p>
        </w:tc>
      </w:tr>
      <w:tr>
        <w:tc>
          <w:tcPr>
            <w:tcW w:type="dxa" w:w="3249"/>
          </w:tcPr>
          <w:p>
            <w:r>
              <w:t>`classification_tagging`（11%）</w:t>
            </w:r>
          </w:p>
        </w:tc>
        <w:tc>
          <w:tcPr>
            <w:tcW w:type="dxa" w:w="3249"/>
          </w:tcPr>
          <w:p>
            <w:r>
              <w:t>无独立 C 端产品，企业内部 API 调用</w:t>
            </w:r>
          </w:p>
        </w:tc>
        <w:tc>
          <w:tcPr>
            <w:tcW w:type="dxa" w:w="3249"/>
          </w:tcPr>
          <w:p>
            <w:r>
              <w:t>几乎无 C 端付费</w:t>
            </w:r>
          </w:p>
        </w:tc>
      </w:tr>
      <w:tr>
        <w:tc>
          <w:tcPr>
            <w:tcW w:type="dxa" w:w="3249"/>
          </w:tcPr>
          <w:p>
            <w:r>
              <w:t>`code:general_impl`（9%）</w:t>
            </w:r>
          </w:p>
        </w:tc>
        <w:tc>
          <w:tcPr>
            <w:tcW w:type="dxa" w:w="3249"/>
          </w:tcPr>
          <w:p>
            <w:r>
              <w:t>Cursor、Copilot、Claude Code</w:t>
            </w:r>
          </w:p>
        </w:tc>
        <w:tc>
          <w:tcPr>
            <w:tcW w:type="dxa" w:w="3249"/>
          </w:tcPr>
          <w:p>
            <w:r>
              <w:t>高使用 + 中高付费（企业付费为主）</w:t>
            </w:r>
          </w:p>
        </w:tc>
      </w:tr>
      <w:tr>
        <w:tc>
          <w:tcPr>
            <w:tcW w:type="dxa" w:w="3249"/>
          </w:tcPr>
          <w:p>
            <w:r>
              <w:t>`data:extraction`（7%）</w:t>
            </w:r>
          </w:p>
        </w:tc>
        <w:tc>
          <w:tcPr>
            <w:tcW w:type="dxa" w:w="3249"/>
          </w:tcPr>
          <w:p>
            <w:r>
              <w:t>多为企业内部工具</w:t>
            </w:r>
          </w:p>
        </w:tc>
        <w:tc>
          <w:tcPr>
            <w:tcW w:type="dxa" w:w="3249"/>
          </w:tcPr>
          <w:p>
            <w:r>
              <w:t>无显著 C 端付费</w:t>
            </w:r>
          </w:p>
        </w:tc>
      </w:tr>
      <w:tr>
        <w:tc>
          <w:tcPr>
            <w:tcW w:type="dxa" w:w="3249"/>
          </w:tcPr>
          <w:p>
            <w:r>
              <w:t>`qa_knowledge` / `summarization`</w:t>
            </w:r>
          </w:p>
        </w:tc>
        <w:tc>
          <w:tcPr>
            <w:tcW w:type="dxa" w:w="3249"/>
          </w:tcPr>
          <w:p>
            <w:r>
              <w:t>ChatGPT Plus、Perplexity Pro、Glean</w:t>
            </w:r>
          </w:p>
        </w:tc>
        <w:tc>
          <w:tcPr>
            <w:tcW w:type="dxa" w:w="3249"/>
          </w:tcPr>
          <w:p>
            <w:r>
              <w:t>中使用 + 中付费</w:t>
            </w:r>
          </w:p>
        </w:tc>
      </w:tr>
      <w:tr>
        <w:tc>
          <w:tcPr>
            <w:tcW w:type="dxa" w:w="3249"/>
          </w:tcPr>
          <w:p>
            <w:r>
              <w:t>`content_writing`</w:t>
            </w:r>
          </w:p>
        </w:tc>
        <w:tc>
          <w:tcPr>
            <w:tcW w:type="dxa" w:w="3249"/>
          </w:tcPr>
          <w:p>
            <w:r>
              <w:t>ChatGPT、Claude、Jasper、Copy.ai</w:t>
            </w:r>
          </w:p>
        </w:tc>
        <w:tc>
          <w:tcPr>
            <w:tcW w:type="dxa" w:w="3249"/>
          </w:tcPr>
          <w:p>
            <w:r>
              <w:t>中使用 + 中付费</w:t>
            </w:r>
          </w:p>
        </w:tc>
      </w:tr>
      <w:tr>
        <w:tc>
          <w:tcPr>
            <w:tcW w:type="dxa" w:w="3249"/>
          </w:tcPr>
          <w:p>
            <w:r>
              <w:t>`roleplay_fiction`</w:t>
            </w:r>
          </w:p>
        </w:tc>
        <w:tc>
          <w:tcPr>
            <w:tcW w:type="dxa" w:w="3249"/>
          </w:tcPr>
          <w:p>
            <w:r>
              <w:t>Character.AI、Claude、ChatGPT</w:t>
            </w:r>
          </w:p>
        </w:tc>
        <w:tc>
          <w:tcPr>
            <w:tcW w:type="dxa" w:w="3249"/>
          </w:tcPr>
          <w:p>
            <w:r>
              <w:t>中使用 + 低付费（情感陪伴变现困难）</w:t>
            </w:r>
          </w:p>
        </w:tc>
      </w:tr>
    </w:tbl>
    <w:p>
      <w:pPr>
        <w:pStyle w:val="Heading2"/>
      </w:pPr>
      <w:r>
        <w:t>5.2 关键差异</w:t>
      </w:r>
    </w:p>
    <w:p>
      <w:pPr>
        <w:pStyle w:val="ListNumber"/>
      </w:pPr>
      <w:r>
        <w:rPr>
          <w:sz w:val="22"/>
        </w:rPr>
        <w:t>"用得多 ≠ 付得多"：分类打标、工作流执行、数据抽取是高使用任务，但付费产品形态弱；这些任务大多发生在企业内部，作为"看不见的 AI"。以 OpenRouter 为例，classification_tagging（11.03%）、agent:workflow_execution（20.02%）、data:extraction（7.01%）三项合计接近 38%，但全球范围内没有一款面向 C 端的独立付费产品专门解决这三类任务——它们的商业价值被锁在企业 IT 预算里。</w:t>
      </w:r>
    </w:p>
    <w:p>
      <w:pPr>
        <w:pStyle w:val="ListNumber"/>
      </w:pPr>
      <w:r>
        <w:rPr>
          <w:sz w:val="22"/>
        </w:rPr>
        <w:t>"付得多 ≠ 单独使用多"：消费者付费的标品（ChatGPT Plus、Claude Pro）能力覆盖广，付费是"为整套能力买单"而非"为单一任务买单"。这与传统 SaaS 的"垂直工具按席位付费"逻辑形成鲜明对比，意味着 AI 产品的定价必须建立在"通用能力 + 个性化价值"上，而不是"功能数量"上。</w:t>
      </w:r>
    </w:p>
    <w:p>
      <w:pPr>
        <w:pStyle w:val="ListNumber"/>
      </w:pPr>
      <w:r>
        <w:rPr>
          <w:sz w:val="22"/>
        </w:rPr>
        <w:t>行业错位：金融、医疗、法律等高合规行业的 AI 付费意愿强，但其在 OpenRouter 公开样本中的支出占比并不高——它们的支出更多发生在私有部署或私有 API 上。Harvey（法律 AI）单客户合同可达七位数，Hippocratic AI 在医疗领域客单价显著高于通用 LLM，但这些支出不会出现在 OpenRouter 公开排行榜中。研究者若只看公开样本，会系统性低估高合规行业的真实付费规模。</w:t>
      </w:r>
    </w:p>
    <w:p>
      <w:pPr>
        <w:pStyle w:val="ListNumber"/>
      </w:pPr>
      <w:r>
        <w:rPr>
          <w:sz w:val="22"/>
        </w:rPr>
        <w:t>地域错位：韩国家庭付费意愿显著高于全球均值（ChatGPT 在韩国市占 71.5%），但欧美市场才是 OpenRouter 公开样本的主要贡献地——付费领先 ≠ 流量领先。同样，Bank of America 报告显示美国家庭 AI 订阅支出同比 +38%–155%，但美国并非 OpenRouter 单一最大市场（流量侧印度、东南亚增速更快）。这种"付费地 ≠ 流量地"的错位，对 To C 出海产品的本地化定价策略有直接含义。</w:t>
      </w:r>
    </w:p>
    <w:p>
      <w:pPr>
        <w:pStyle w:val="Heading2"/>
      </w:pPr>
      <w:r>
        <w:t>5.3 谁在为 AI 付费，谁在为 AI 创造收入</w:t>
      </w:r>
    </w:p>
    <w:p>
      <w:pPr>
        <w:pStyle w:val="ListBullet"/>
      </w:pPr>
      <w:r>
        <w:rPr>
          <w:sz w:val="22"/>
        </w:rPr>
        <w:t>企业 IT 预算：最大的付费方（LLM API + Copilot 席位 + 私有部署），决策周期长但 LTV 高。</w:t>
      </w:r>
    </w:p>
    <w:p>
      <w:pPr>
        <w:pStyle w:val="ListBullet"/>
      </w:pPr>
      <w:r>
        <w:rPr>
          <w:sz w:val="22"/>
        </w:rPr>
        <w:t>个人专业用户：稳定的"自掏腰包"群体，撑起消费订阅基本盘。</w:t>
      </w:r>
    </w:p>
    <w:p>
      <w:pPr>
        <w:pStyle w:val="ListBullet"/>
      </w:pPr>
      <w:r>
        <w:rPr>
          <w:sz w:val="22"/>
        </w:rPr>
        <w:t>创作者 / 自由职业者：愿意为图像、视频、长文档生成付费，是垂直工具的主要买家。</w:t>
      </w:r>
    </w:p>
    <w:p>
      <w:pPr>
        <w:pStyle w:val="ListBullet"/>
      </w:pPr>
      <w:r>
        <w:rPr>
          <w:sz w:val="22"/>
        </w:rPr>
        <w:t>学生 / 尝鲜用户：使用强度高但付费率低，被免费层 + 广告变现路径服务。</w:t>
      </w:r>
    </w:p>
    <w:p>
      <w:pPr>
        <w:pStyle w:val="Heading1"/>
      </w:pPr>
      <w:r>
        <w:t>6. 趋势洞察与预测</w:t>
      </w:r>
    </w:p>
    <w:p>
      <w:pPr>
        <w:pStyle w:val="Heading2"/>
      </w:pPr>
      <w:r>
        <w:t>6.1 使用侧趋势</w:t>
      </w:r>
    </w:p>
    <w:p>
      <w:pPr>
        <w:pStyle w:val="ListNumber"/>
      </w:pPr>
      <w:r>
        <w:rPr>
          <w:sz w:val="22"/>
        </w:rPr>
        <w:t>Agent 化加速：Agent 类任务（OpenRouter 当前占 30.96%）仍将持续扩大。Stanford 2026 报告显示 40%+ 大企业有 AI Agent 上线，预计 2026–2027 年 Agent 占比将超过 40%。</w:t>
      </w:r>
    </w:p>
    <w:p>
      <w:pPr>
        <w:pStyle w:val="ListNumber"/>
      </w:pPr>
      <w:r>
        <w:rPr>
          <w:sz w:val="22"/>
        </w:rPr>
        <w:t>代码任务被进一步压缩：随着 Cursor、Claude Code 等工具成熟，相同开发任务的 token 单耗会下降，但"AI 写的代码量"持续上升，结构性抵消单价下降。</w:t>
      </w:r>
    </w:p>
    <w:p>
      <w:pPr>
        <w:pStyle w:val="ListNumber"/>
      </w:pPr>
      <w:r>
        <w:rPr>
          <w:sz w:val="22"/>
        </w:rPr>
        <w:t>垂直行业用例涌现：金融、医疗、法律等行业的"小模型 + 行业语料"组合将催生新的细分类别，可能在 2027 年出现 finance:credit_decision 等垂直任务标签。</w:t>
      </w:r>
    </w:p>
    <w:p>
      <w:pPr>
        <w:pStyle w:val="Heading2"/>
      </w:pPr>
      <w:r>
        <w:t>6.2 付费侧趋势</w:t>
      </w:r>
    </w:p>
    <w:p>
      <w:pPr>
        <w:pStyle w:val="ListNumber"/>
      </w:pPr>
      <w:r>
        <w:rPr>
          <w:sz w:val="22"/>
        </w:rPr>
        <w:t>$20/月成为长期锚定：从 2024 到 2026，主流厂商的标准订阅均稳定在 $20，预计这一锚点会延续到 2027。</w:t>
      </w:r>
    </w:p>
    <w:p>
      <w:pPr>
        <w:pStyle w:val="ListNumber"/>
      </w:pPr>
      <w:r>
        <w:rPr>
          <w:sz w:val="22"/>
        </w:rPr>
        <w:t>企业付费超越消费者付费：Menlo Ventures 预测 LLM 市场 2030 年将超 1500 亿美元，其中企业占比将超过 90%。</w:t>
      </w:r>
    </w:p>
    <w:p>
      <w:pPr>
        <w:pStyle w:val="ListNumber"/>
      </w:pPr>
      <w:r>
        <w:rPr>
          <w:sz w:val="22"/>
        </w:rPr>
        <w:t>"Power user"继续拉升 ARPU：a16z/YipitData 显示前 1% 用户月付 903 美元，Stack 模式（同时付多个工具）将成为高 ARPU 用户的常态。</w:t>
      </w:r>
    </w:p>
    <w:p>
      <w:pPr>
        <w:pStyle w:val="ListNumber"/>
      </w:pPr>
      <w:r>
        <w:rPr>
          <w:sz w:val="22"/>
        </w:rPr>
        <w:t>新兴付费品类：AI Agent 平台席位（按"完成的实际任务"计费）、行业垂直助手（按席位 / API 调用）、AI 训练数据 / 微调服务，预计将成为 2027–2028 年新增量。</w:t>
      </w:r>
    </w:p>
    <w:p>
      <w:pPr>
        <w:pStyle w:val="ListNumber"/>
      </w:pPr>
      <w:r>
        <w:rPr>
          <w:sz w:val="22"/>
        </w:rPr>
        <w:t>C 端付费转化率温和提升：OpenAI 自身预期 2025 年 3500 万付费用户 → 2030 年 2.2 亿付费用户，付费转化率从 ~5% 提升至 ~8.5%（待核实，系厂商自报目标）。</w:t>
      </w:r>
    </w:p>
    <w:p>
      <w:pPr>
        <w:pStyle w:val="Heading2"/>
      </w:pPr>
      <w:r>
        <w:t>6.3 不确定性</w:t>
      </w:r>
    </w:p>
    <w:p>
      <w:pPr>
        <w:pStyle w:val="ListBullet"/>
      </w:pPr>
      <w:r>
        <w:rPr>
          <w:sz w:val="22"/>
        </w:rPr>
        <w:t>广告变现 vs 订阅：若免费层广告变现路径打通（参考 Perplexity、ChatGPT 已开始的"答案内嵌广告"试点），C 端付费率可能长期停留在 5% 以下；若订阅绑定独家功能（如 ChatGPT Pro 的"无限高级模型"、Claude Max 的"Project 模式"），付费率有望突破 10%。两条路径在未来 3 年内大概率会共存，形成"免费广告 + 付费去广告 / 高级功能"的双层结构。</w:t>
      </w:r>
    </w:p>
    <w:p>
      <w:pPr>
        <w:pStyle w:val="ListBullet"/>
      </w:pPr>
      <w:r>
        <w:rPr>
          <w:sz w:val="22"/>
        </w:rPr>
        <w:t>监管影响：欧盟 AI Act、美国各州法律、中国生成式 AI 管理办法对"高风险用例"的合规要求，可能压制部分行业（医疗诊断、信贷决策、招聘筛选）的 AI 使用与付费意愿；同时也会催生新的"合规增强"付费产品（如审计日志、可解释性、人类监督回路）作为增量。</w:t>
      </w:r>
    </w:p>
    <w:p>
      <w:pPr>
        <w:pStyle w:val="ListBullet"/>
      </w:pPr>
      <w:r>
        <w:rPr>
          <w:sz w:val="22"/>
        </w:rPr>
        <w:t>模型同质化与价格战：随着开源 / 小模型能力接近闭源，付费意愿可能被"降价 + 性能提升"双向挤压。OpenAI、Anthropic、Google 之间的价格战在 2026 年已现端倪（OpenRouter 显示 Anthropic Claude 与 Google Gemini 在多个任务上互有胜负），API 单价预计 2027 年再下降 30–50%。这将进一步压缩独立模型公司的毛利空间，把价值上推到"应用层 + 数据 + 工作流"。</w:t>
      </w:r>
    </w:p>
    <w:p>
      <w:pPr>
        <w:pStyle w:val="ListBullet"/>
      </w:pPr>
      <w:r>
        <w:rPr>
          <w:sz w:val="22"/>
        </w:rPr>
        <w:t>企业 IT 预算周期：宏观环境对企业 IT 预算的影响显著。若 2027 年出现明显的 IT 预算紧缩，企业级 AI 付费增速可能从当前的 +40% YoY 下滑到 +15–20% YoY，但 Agent 与垂直助手的渗透率仍会逆势上行，因为它们的 ROI 已经可被精确度量。</w:t>
      </w:r>
    </w:p>
    <w:p>
      <w:pPr>
        <w:pStyle w:val="Heading1"/>
      </w:pPr>
      <w:r>
        <w:t>7. 结论与建议</w:t>
      </w:r>
    </w:p>
    <w:p>
      <w:pPr>
        <w:pStyle w:val="Heading2"/>
      </w:pPr>
      <w:r>
        <w:t>7.1 结论</w:t>
      </w:r>
    </w:p>
    <w:p>
      <w:pPr>
        <w:pStyle w:val="ListNumber"/>
      </w:pPr>
      <w:r>
        <w:rPr>
          <w:sz w:val="22"/>
        </w:rPr>
        <w:t>AI 使用已进入主流化：组织渗透率 78%、生成式 AI 渗透率 60%+，Agent 已成为最大的真实推理支出场景。</w:t>
      </w:r>
    </w:p>
    <w:p>
      <w:pPr>
        <w:pStyle w:val="ListNumber"/>
      </w:pPr>
      <w:r>
        <w:rPr>
          <w:sz w:val="22"/>
        </w:rPr>
        <w:t>付费仍然滞后：消费端付费渗透率仅约 3%，但增长加速、客单价上升；企业付费是当前收入主体。</w:t>
      </w:r>
    </w:p>
    <w:p>
      <w:pPr>
        <w:pStyle w:val="ListNumber"/>
      </w:pPr>
      <w:r>
        <w:rPr>
          <w:sz w:val="22"/>
        </w:rPr>
        <w:t>"使用"与"付费"在三个层面错位：任务级（高使用任务无独立付费产品）、行业级（高付费行业不在公开样本）、地域级（高付费地区不在高流量地区）。</w:t>
      </w:r>
    </w:p>
    <w:p>
      <w:pPr>
        <w:pStyle w:val="ListNumber"/>
      </w:pPr>
      <w:r>
        <w:rPr>
          <w:sz w:val="22"/>
        </w:rPr>
        <w:t>未来 3 年的关键变量是 Agent 商业化：谁能把 agent:workflow_execution（当前 20% 占比）变成可持续计费的产品形态，谁就拿到下一轮红利。</w:t>
      </w:r>
    </w:p>
    <w:p>
      <w:pPr>
        <w:pStyle w:val="Heading2"/>
      </w:pPr>
      <w:r>
        <w:t>7.2 建议</w:t>
      </w:r>
    </w:p>
    <w:p>
      <w:r>
        <w:rPr>
          <w:b w:val="0"/>
          <w:i w:val="0"/>
        </w:rPr>
        <w:t>给企业管理层：</w:t>
      </w:r>
    </w:p>
    <w:p>
      <w:pPr>
        <w:pStyle w:val="ListBullet"/>
      </w:pPr>
      <w:r>
        <w:rPr>
          <w:sz w:val="22"/>
        </w:rPr>
        <w:t>把 AI 预算分成三块：生产力套件（Copilot 类，$30/席位/月起，按人头）、专用 Agent 平台（按任务 / 流程计费）、内部 API 算力（按 token，优先在数据敏感场景）。</w:t>
      </w:r>
    </w:p>
    <w:p>
      <w:pPr>
        <w:pStyle w:val="ListBullet"/>
      </w:pPr>
      <w:r>
        <w:rPr>
          <w:sz w:val="22"/>
        </w:rPr>
        <w:t>不要按"全公司一刀切"采购：基于 OpenRouter 实际任务分布，把代码 Agent、客服 Agent、数据抽取 Agent 分线评估 ROI。</w:t>
      </w:r>
    </w:p>
    <w:p>
      <w:r>
        <w:rPr>
          <w:b w:val="0"/>
          <w:i w:val="0"/>
        </w:rPr>
        <w:t>给行业研究者：</w:t>
      </w:r>
    </w:p>
    <w:p>
      <w:pPr>
        <w:pStyle w:val="ListBullet"/>
      </w:pPr>
      <w:r>
        <w:rPr>
          <w:sz w:val="22"/>
        </w:rPr>
        <w:t>关注真实推理流量而非模型 demo 的"明星用例"——OpenRouter、Anthropic Economic Index、OpenAI 公开数据比厂商白皮书更接近真相。</w:t>
      </w:r>
    </w:p>
    <w:p>
      <w:pPr>
        <w:pStyle w:val="ListBullet"/>
      </w:pPr>
      <w:r>
        <w:rPr>
          <w:sz w:val="22"/>
        </w:rPr>
        <w:t>跟踪 Power user ARPU 与 Stack 模式：这才是消费付费真正的天花板指标。</w:t>
      </w:r>
    </w:p>
    <w:p>
      <w:r>
        <w:rPr>
          <w:b w:val="0"/>
          <w:i w:val="0"/>
        </w:rPr>
        <w:t>给 AI 产品创业者：</w:t>
      </w:r>
    </w:p>
    <w:p>
      <w:pPr>
        <w:pStyle w:val="ListBullet"/>
      </w:pPr>
      <w:r>
        <w:rPr>
          <w:sz w:val="22"/>
        </w:rPr>
        <w:t>高使用 + 低付费场景（workflow execution、classification、data extraction）是企业级 SaaS 的机会窗口。</w:t>
      </w:r>
    </w:p>
    <w:p>
      <w:pPr>
        <w:pStyle w:val="ListBullet"/>
      </w:pPr>
      <w:r>
        <w:rPr>
          <w:sz w:val="22"/>
        </w:rPr>
        <w:t>通用 C 端标品（$20/月 ChatGPT/Claude 类）已趋饱和；垂直场景 + 行业知识 + 工作流闭环 是新的付费突破口。</w:t>
      </w:r>
    </w:p>
    <w:p>
      <w:pPr>
        <w:pStyle w:val="ListBullet"/>
      </w:pPr>
      <w:r>
        <w:rPr>
          <w:sz w:val="22"/>
        </w:rPr>
        <w:t>关注"任务完成度"计费（Outcome-based Pricing），而不是单纯按席位或 token 计费——这与 Agent 化趋势天然契合。</w:t>
      </w:r>
    </w:p>
    <w:p>
      <w:pPr>
        <w:pStyle w:val="Heading1"/>
      </w:pPr>
      <w:r>
        <w:t>8. 参考资料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2436"/>
        <w:gridCol w:w="2436"/>
        <w:gridCol w:w="2436"/>
        <w:gridCol w:w="2436"/>
      </w:tblGrid>
      <w:tr>
        <w:tc>
          <w:tcPr>
            <w:tcW w:type="dxa" w:w="2436"/>
          </w:tcPr>
          <w:p>
            <w:r/>
            <w:r>
              <w:rPr>
                <w:b/>
              </w:rPr>
              <w:t>报告 / 数据源</w:t>
            </w:r>
          </w:p>
        </w:tc>
        <w:tc>
          <w:tcPr>
            <w:tcW w:type="dxa" w:w="2436"/>
          </w:tcPr>
          <w:p>
            <w:r/>
            <w:r>
              <w:rPr>
                <w:b/>
              </w:rPr>
              <w:t>发布机构</w:t>
            </w:r>
          </w:p>
        </w:tc>
        <w:tc>
          <w:tcPr>
            <w:tcW w:type="dxa" w:w="2436"/>
          </w:tcPr>
          <w:p>
            <w:r/>
            <w:r>
              <w:rPr>
                <w:b/>
              </w:rPr>
              <w:t>发布时间</w:t>
            </w:r>
          </w:p>
        </w:tc>
        <w:tc>
          <w:tcPr>
            <w:tcW w:type="dxa" w:w="2436"/>
          </w:tcPr>
          <w:p>
            <w:r/>
            <w:r>
              <w:rPr>
                <w:b/>
              </w:rPr>
              <w:t>链接</w:t>
            </w:r>
          </w:p>
        </w:tc>
      </w:tr>
      <w:tr>
        <w:tc>
          <w:tcPr>
            <w:tcW w:type="dxa" w:w="2436"/>
          </w:tcPr>
          <w:p>
            <w:r>
              <w:t>AI Index Report 2026</w:t>
            </w:r>
          </w:p>
        </w:tc>
        <w:tc>
          <w:tcPr>
            <w:tcW w:type="dxa" w:w="2436"/>
          </w:tcPr>
          <w:p>
            <w:r>
              <w:t>Stanford HAI</w:t>
            </w:r>
          </w:p>
        </w:tc>
        <w:tc>
          <w:tcPr>
            <w:tcW w:type="dxa" w:w="2436"/>
          </w:tcPr>
          <w:p>
            <w:r>
              <w:t>2026-04</w:t>
            </w:r>
          </w:p>
        </w:tc>
        <w:tc>
          <w:tcPr>
            <w:tcW w:type="dxa" w:w="2436"/>
          </w:tcPr>
          <w:p>
            <w:r>
              <w:t>https://hai.stanford.edu/ai-index</w:t>
            </w:r>
          </w:p>
        </w:tc>
      </w:tr>
      <w:tr>
        <w:tc>
          <w:tcPr>
            <w:tcW w:type="dxa" w:w="2436"/>
          </w:tcPr>
          <w:p>
            <w:r>
              <w:t>Anthropic Economic Index 2026</w:t>
            </w:r>
          </w:p>
        </w:tc>
        <w:tc>
          <w:tcPr>
            <w:tcW w:type="dxa" w:w="2436"/>
          </w:tcPr>
          <w:p>
            <w:r>
              <w:t>Anthropic</w:t>
            </w:r>
          </w:p>
        </w:tc>
        <w:tc>
          <w:tcPr>
            <w:tcW w:type="dxa" w:w="2436"/>
          </w:tcPr>
          <w:p>
            <w:r>
              <w:t>2026</w:t>
            </w:r>
          </w:p>
        </w:tc>
        <w:tc>
          <w:tcPr>
            <w:tcW w:type="dxa" w:w="2436"/>
          </w:tcPr>
          <w:p>
            <w:r>
              <w:t>https://www.anthropic.com/economic-index</w:t>
            </w:r>
          </w:p>
        </w:tc>
      </w:tr>
      <w:tr>
        <w:tc>
          <w:tcPr>
            <w:tcW w:type="dxa" w:w="2436"/>
          </w:tcPr>
          <w:p>
            <w:r>
              <w:t>Top Models by Task（task-spend）</w:t>
            </w:r>
          </w:p>
        </w:tc>
        <w:tc>
          <w:tcPr>
            <w:tcW w:type="dxa" w:w="2436"/>
          </w:tcPr>
          <w:p>
            <w:r>
              <w:t>OpenRouter</w:t>
            </w:r>
          </w:p>
        </w:tc>
        <w:tc>
          <w:tcPr>
            <w:tcW w:type="dxa" w:w="2436"/>
          </w:tcPr>
          <w:p>
            <w:r>
              <w:t>2026-10-05 实时</w:t>
            </w:r>
          </w:p>
        </w:tc>
        <w:tc>
          <w:tcPr>
            <w:tcW w:type="dxa" w:w="2436"/>
          </w:tcPr>
          <w:p>
            <w:r>
              <w:t>https://openrouter.ai/rankings#task-spend</w:t>
            </w:r>
          </w:p>
        </w:tc>
      </w:tr>
      <w:tr>
        <w:tc>
          <w:tcPr>
            <w:tcW w:type="dxa" w:w="2436"/>
          </w:tcPr>
          <w:p>
            <w:r>
              <w:t>State of Consumer AI 2025</w:t>
            </w:r>
          </w:p>
        </w:tc>
        <w:tc>
          <w:tcPr>
            <w:tcW w:type="dxa" w:w="2436"/>
          </w:tcPr>
          <w:p>
            <w:r>
              <w:t>Menlo Ventures</w:t>
            </w:r>
          </w:p>
        </w:tc>
        <w:tc>
          <w:tcPr>
            <w:tcW w:type="dxa" w:w="2436"/>
          </w:tcPr>
          <w:p>
            <w:r>
              <w:t>2025</w:t>
            </w:r>
          </w:p>
        </w:tc>
        <w:tc>
          <w:tcPr>
            <w:tcW w:type="dxa" w:w="2436"/>
          </w:tcPr>
          <w:p>
            <w:r>
              <w:t>https://menlovc.com/state-of-consumer-ai-2025/</w:t>
            </w:r>
          </w:p>
        </w:tc>
      </w:tr>
      <w:tr>
        <w:tc>
          <w:tcPr>
            <w:tcW w:type="dxa" w:w="2436"/>
          </w:tcPr>
          <w:p>
            <w:r>
              <w:t>State of AI 2025: The LLM Stack</w:t>
            </w:r>
          </w:p>
        </w:tc>
        <w:tc>
          <w:tcPr>
            <w:tcW w:type="dxa" w:w="2436"/>
          </w:tcPr>
          <w:p>
            <w:r>
              <w:t>Menlo Ventures</w:t>
            </w:r>
          </w:p>
        </w:tc>
        <w:tc>
          <w:tcPr>
            <w:tcW w:type="dxa" w:w="2436"/>
          </w:tcPr>
          <w:p>
            <w:r>
              <w:t>2025</w:t>
            </w:r>
          </w:p>
        </w:tc>
        <w:tc>
          <w:tcPr>
            <w:tcW w:type="dxa" w:w="2436"/>
          </w:tcPr>
          <w:p>
            <w:r>
              <w:t>https://menlovc.com/perspective/state-of-ai-2025-the-llm-stack/</w:t>
            </w:r>
          </w:p>
        </w:tc>
      </w:tr>
      <w:tr>
        <w:tc>
          <w:tcPr>
            <w:tcW w:type="dxa" w:w="2436"/>
          </w:tcPr>
          <w:p>
            <w:r>
              <w:t>State of AI（早期 2025）</w:t>
            </w:r>
          </w:p>
        </w:tc>
        <w:tc>
          <w:tcPr>
            <w:tcW w:type="dxa" w:w="2436"/>
          </w:tcPr>
          <w:p>
            <w:r>
              <w:t>McKinsey QuantumBlack</w:t>
            </w:r>
          </w:p>
        </w:tc>
        <w:tc>
          <w:tcPr>
            <w:tcW w:type="dxa" w:w="2436"/>
          </w:tcPr>
          <w:p>
            <w:r>
              <w:t>2025</w:t>
            </w:r>
          </w:p>
        </w:tc>
        <w:tc>
          <w:tcPr>
            <w:tcW w:type="dxa" w:w="2436"/>
          </w:tcPr>
          <w:p>
            <w:r>
              <w:t>https://www.mckinsey.com/capabilities/quantumblack/our-insights/the-state-of-ai</w:t>
            </w:r>
          </w:p>
        </w:tc>
      </w:tr>
      <w:tr>
        <w:tc>
          <w:tcPr>
            <w:tcW w:type="dxa" w:w="2436"/>
          </w:tcPr>
          <w:p>
            <w:r>
              <w:t>Who's Actually Paying for AI: The $12B Consumer Subscription Market</w:t>
            </w:r>
          </w:p>
        </w:tc>
        <w:tc>
          <w:tcPr>
            <w:tcW w:type="dxa" w:w="2436"/>
          </w:tcPr>
          <w:p>
            <w:r>
              <w:t>AgentsPop / 行业转引</w:t>
            </w:r>
          </w:p>
        </w:tc>
        <w:tc>
          <w:tcPr>
            <w:tcW w:type="dxa" w:w="2436"/>
          </w:tcPr>
          <w:p>
            <w:r>
              <w:t>2026</w:t>
            </w:r>
          </w:p>
        </w:tc>
        <w:tc>
          <w:tcPr>
            <w:tcW w:type="dxa" w:w="2436"/>
          </w:tcPr>
          <w:p>
            <w:r>
              <w:t>https://agentspop.com/blog/consumer-ai-subs.html</w:t>
            </w:r>
          </w:p>
        </w:tc>
      </w:tr>
      <w:tr>
        <w:tc>
          <w:tcPr>
            <w:tcW w:type="dxa" w:w="2436"/>
          </w:tcPr>
          <w:p>
            <w:r>
              <w:t>Only 3% of US households pay for AI subscriptions, but growth is accelerating</w:t>
            </w:r>
          </w:p>
        </w:tc>
        <w:tc>
          <w:tcPr>
            <w:tcW w:type="dxa" w:w="2436"/>
          </w:tcPr>
          <w:p>
            <w:r>
              <w:t>Bank of America（媒体转引）</w:t>
            </w:r>
          </w:p>
        </w:tc>
        <w:tc>
          <w:tcPr>
            <w:tcW w:type="dxa" w:w="2436"/>
          </w:tcPr>
          <w:p>
            <w:r>
              <w:t>2025–2026</w:t>
            </w:r>
          </w:p>
        </w:tc>
        <w:tc>
          <w:tcPr>
            <w:tcW w:type="dxa" w:w="2436"/>
          </w:tcPr>
          <w:p>
            <w:r>
              <w:t>https://toolhunt.io/only-3-of-us-households-pay-for-ai-subscriptions-but-growth-is-accelerating-bank-of-america/</w:t>
            </w:r>
          </w:p>
        </w:tc>
      </w:tr>
      <w:tr>
        <w:tc>
          <w:tcPr>
            <w:tcW w:type="dxa" w:w="2436"/>
          </w:tcPr>
          <w:p>
            <w:r>
              <w:t>韩国 AI 订阅支出首度超越 Netflix（韩）</w:t>
            </w:r>
          </w:p>
        </w:tc>
        <w:tc>
          <w:tcPr>
            <w:tcW w:type="dxa" w:w="2436"/>
          </w:tcPr>
          <w:p>
            <w:r>
              <w:t>韩国本地媒体</w:t>
            </w:r>
          </w:p>
        </w:tc>
        <w:tc>
          <w:tcPr>
            <w:tcW w:type="dxa" w:w="2436"/>
          </w:tcPr>
          <w:p>
            <w:r>
              <w:t>2025-12</w:t>
            </w:r>
          </w:p>
        </w:tc>
        <w:tc>
          <w:tcPr>
            <w:tcW w:type="dxa" w:w="2436"/>
          </w:tcPr>
          <w:p>
            <w:r>
              <w:t>https://www.aibase.com/zh/news/24695</w:t>
            </w:r>
          </w:p>
        </w:tc>
      </w:tr>
      <w:tr>
        <w:tc>
          <w:tcPr>
            <w:tcW w:type="dxa" w:w="2436"/>
          </w:tcPr>
          <w:p>
            <w:r>
              <w:t>AI Tool Subscription Pricing 2026</w:t>
            </w:r>
          </w:p>
        </w:tc>
        <w:tc>
          <w:tcPr>
            <w:tcW w:type="dxa" w:w="2436"/>
          </w:tcPr>
          <w:p>
            <w:r>
              <w:t>TheAskInfo</w:t>
            </w:r>
          </w:p>
        </w:tc>
        <w:tc>
          <w:tcPr>
            <w:tcW w:type="dxa" w:w="2436"/>
          </w:tcPr>
          <w:p>
            <w:r>
              <w:t>2026</w:t>
            </w:r>
          </w:p>
        </w:tc>
        <w:tc>
          <w:tcPr>
            <w:tcW w:type="dxa" w:w="2436"/>
          </w:tcPr>
          <w:p>
            <w:r>
              <w:t>http://theaskinfo.com/detail.html?fetch=1&amp;id=9290&amp;type=Technology</w:t>
            </w:r>
          </w:p>
        </w:tc>
      </w:tr>
    </w:tbl>
    <w:p>
      <w:pPr>
        <w:pStyle w:val="Heading2"/>
      </w:pPr>
      <w:r>
        <w:t>数据说明</w:t>
      </w:r>
    </w:p>
    <w:p>
      <w:pPr>
        <w:pStyle w:val="ListBullet"/>
      </w:pPr>
      <w:r>
        <w:rPr>
          <w:sz w:val="22"/>
        </w:rPr>
        <w:t>2026 年权威数据：Stanford HAI《AI Index 2026》、Anthropic《Economic Index 2026》、OpenRouter 实时榜单（已交叉验证）。</w:t>
      </w:r>
    </w:p>
    <w:p>
      <w:pPr>
        <w:pStyle w:val="ListBullet"/>
      </w:pPr>
      <w:r>
        <w:rPr>
          <w:sz w:val="22"/>
        </w:rPr>
        <w:t>2025 年数据（替代采用）：Menlo Ventures《State of Consumer AI 2025》、McKinsey《State of AI 2025》——这些是 2026 年最新的可比权威来源，已标注年份。</w:t>
      </w:r>
    </w:p>
    <w:p>
      <w:pPr>
        <w:pStyle w:val="ListBullet"/>
      </w:pPr>
      <w:r>
        <w:rPr>
          <w:sz w:val="22"/>
        </w:rPr>
        <w:t>媒体转引数据（Bank of America、PNC、a16z/YipitData 等）：报告中标注"待核实"或"估算"，建议决策前与发布机构原文核对。</w:t>
      </w:r>
    </w:p>
    <w:p>
      <w:pPr>
        <w:pStyle w:val="ListBullet"/>
      </w:pPr>
      <w:r>
        <w:rPr>
          <w:sz w:val="22"/>
        </w:rPr>
        <w:t>OpenRouter 排行榜：数据截至 2026-10-05，30 天滚动窗口，与报告撰写日期一致。</w:t>
      </w:r>
    </w:p>
    <w:sectPr w:rsidR="00FC693F" w:rsidRPr="0006063C" w:rsidSect="00034616">
      <w:pgSz w:w="12240" w:h="15840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 w:eastAsia="Microsoft YaHe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